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8" w:rsidRPr="001114E9" w:rsidRDefault="009529C8" w:rsidP="009529C8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r w:rsidRPr="001114E9">
        <w:rPr>
          <w:rFonts w:ascii="Times New Roman" w:hAnsi="Times New Roman" w:cs="Times New Roman"/>
          <w:lang w:val="en-US"/>
        </w:rPr>
        <w:t>«APPROVED»</w:t>
      </w:r>
    </w:p>
    <w:p w:rsidR="009529C8" w:rsidRDefault="009529C8" w:rsidP="009529C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D</w:t>
      </w:r>
      <w:r w:rsidRPr="001114E9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rector of NIIEMIZ MZ </w:t>
      </w:r>
      <w:proofErr w:type="spellStart"/>
      <w:r>
        <w:rPr>
          <w:rFonts w:ascii="Times New Roman" w:hAnsi="Times New Roman" w:cs="Times New Roman"/>
          <w:lang w:val="en-US"/>
        </w:rPr>
        <w:t>RUz</w:t>
      </w:r>
      <w:proofErr w:type="spellEnd"/>
    </w:p>
    <w:p w:rsidR="009529C8" w:rsidRDefault="009529C8" w:rsidP="009529C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Professor_________TUICHIEV</w:t>
      </w:r>
      <w:proofErr w:type="spellEnd"/>
      <w:r>
        <w:rPr>
          <w:rFonts w:ascii="Times New Roman" w:hAnsi="Times New Roman" w:cs="Times New Roman"/>
          <w:lang w:val="en-US"/>
        </w:rPr>
        <w:t xml:space="preserve"> L.D.</w:t>
      </w:r>
    </w:p>
    <w:p w:rsidR="009529C8" w:rsidRDefault="009529C8" w:rsidP="009529C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“21</w:t>
      </w:r>
      <w:r w:rsidRPr="001114E9">
        <w:rPr>
          <w:rFonts w:ascii="Times New Roman" w:hAnsi="Times New Roman" w:cs="Times New Roman"/>
          <w:vertAlign w:val="superscript"/>
          <w:lang w:val="en-US"/>
        </w:rPr>
        <w:t>st</w:t>
      </w:r>
      <w:proofErr w:type="gramStart"/>
      <w:r>
        <w:rPr>
          <w:rFonts w:ascii="Times New Roman" w:hAnsi="Times New Roman" w:cs="Times New Roman"/>
          <w:lang w:val="en-US"/>
        </w:rPr>
        <w:t>”  of</w:t>
      </w:r>
      <w:proofErr w:type="gramEnd"/>
      <w:r>
        <w:rPr>
          <w:rFonts w:ascii="Times New Roman" w:hAnsi="Times New Roman" w:cs="Times New Roman"/>
          <w:lang w:val="en-US"/>
        </w:rPr>
        <w:t xml:space="preserve">  June  2013     </w:t>
      </w:r>
    </w:p>
    <w:p w:rsidR="009529C8" w:rsidRDefault="009529C8" w:rsidP="009529C8">
      <w:pPr>
        <w:rPr>
          <w:rFonts w:ascii="Times New Roman" w:hAnsi="Times New Roman" w:cs="Times New Roman"/>
          <w:lang w:val="en-US"/>
        </w:rPr>
      </w:pPr>
    </w:p>
    <w:p w:rsidR="009529C8" w:rsidRPr="009529C8" w:rsidRDefault="009529C8" w:rsidP="009529C8">
      <w:pPr>
        <w:jc w:val="center"/>
        <w:rPr>
          <w:rFonts w:ascii="Times New Roman" w:hAnsi="Times New Roman" w:cs="Times New Roman"/>
          <w:b/>
          <w:lang w:val="en-US"/>
        </w:rPr>
      </w:pPr>
      <w:r w:rsidRPr="009529C8">
        <w:rPr>
          <w:rFonts w:ascii="Times New Roman" w:hAnsi="Times New Roman" w:cs="Times New Roman"/>
          <w:b/>
          <w:lang w:val="en-US"/>
        </w:rPr>
        <w:t>TESTING RECORD</w:t>
      </w:r>
    </w:p>
    <w:p w:rsidR="009529C8" w:rsidRPr="009529C8" w:rsidRDefault="009529C8" w:rsidP="009529C8">
      <w:pPr>
        <w:jc w:val="center"/>
        <w:rPr>
          <w:rFonts w:ascii="Times New Roman" w:hAnsi="Times New Roman" w:cs="Times New Roman"/>
          <w:i/>
          <w:lang w:val="en-US"/>
        </w:rPr>
      </w:pPr>
      <w:proofErr w:type="gramStart"/>
      <w:r w:rsidRPr="009529C8">
        <w:rPr>
          <w:rFonts w:ascii="Times New Roman" w:hAnsi="Times New Roman" w:cs="Times New Roman"/>
          <w:i/>
          <w:lang w:val="en-US"/>
        </w:rPr>
        <w:t>as</w:t>
      </w:r>
      <w:proofErr w:type="gramEnd"/>
      <w:r w:rsidRPr="009529C8">
        <w:rPr>
          <w:rFonts w:ascii="Times New Roman" w:hAnsi="Times New Roman" w:cs="Times New Roman"/>
          <w:i/>
          <w:lang w:val="en-US"/>
        </w:rPr>
        <w:t xml:space="preserve"> to EIA</w:t>
      </w:r>
      <w:r w:rsidR="00A64EA6">
        <w:rPr>
          <w:rFonts w:ascii="Times New Roman" w:hAnsi="Times New Roman" w:cs="Times New Roman"/>
          <w:i/>
          <w:lang w:val="en-US"/>
        </w:rPr>
        <w:t xml:space="preserve"> testing</w:t>
      </w:r>
      <w:r w:rsidRPr="009529C8">
        <w:rPr>
          <w:rFonts w:ascii="Times New Roman" w:hAnsi="Times New Roman" w:cs="Times New Roman"/>
          <w:i/>
          <w:lang w:val="en-US"/>
        </w:rPr>
        <w:t xml:space="preserve"> of serum and lymphocyte content of donor blood</w:t>
      </w:r>
    </w:p>
    <w:p w:rsidR="009529C8" w:rsidRDefault="009529C8" w:rsidP="009529C8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9529C8">
        <w:rPr>
          <w:rFonts w:ascii="Times New Roman" w:hAnsi="Times New Roman" w:cs="Times New Roman"/>
          <w:i/>
          <w:lang w:val="en-US"/>
        </w:rPr>
        <w:t>for</w:t>
      </w:r>
      <w:proofErr w:type="gramEnd"/>
      <w:r w:rsidRPr="009529C8">
        <w:rPr>
          <w:rFonts w:ascii="Times New Roman" w:hAnsi="Times New Roman" w:cs="Times New Roman"/>
          <w:i/>
          <w:lang w:val="en-US"/>
        </w:rPr>
        <w:t xml:space="preserve"> HBV and HIV infection</w:t>
      </w:r>
      <w:r w:rsidR="00A64EA6">
        <w:rPr>
          <w:rFonts w:ascii="Times New Roman" w:hAnsi="Times New Roman" w:cs="Times New Roman"/>
          <w:i/>
          <w:lang w:val="en-US"/>
        </w:rPr>
        <w:t xml:space="preserve"> detection</w:t>
      </w:r>
    </w:p>
    <w:p w:rsidR="00F2259B" w:rsidRDefault="00E51242" w:rsidP="009529C8">
      <w:pPr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sz w:val="24"/>
          <w:szCs w:val="24"/>
          <w:lang w:val="en-US" w:bidi="ru-RU"/>
        </w:rPr>
        <w:t>Under the agreement between “New Medical Technologies</w:t>
      </w:r>
      <w:r w:rsidR="00447286">
        <w:rPr>
          <w:rFonts w:ascii="Times New Roman" w:hAnsi="Times New Roman" w:cs="Times New Roman"/>
          <w:sz w:val="24"/>
          <w:szCs w:val="24"/>
          <w:lang w:val="en-US" w:bidi="ru-RU"/>
        </w:rPr>
        <w:t>”</w:t>
      </w:r>
      <w:r w:rsidR="00F7647F">
        <w:rPr>
          <w:rFonts w:ascii="Times New Roman" w:hAnsi="Times New Roman" w:cs="Times New Roman"/>
          <w:sz w:val="24"/>
          <w:szCs w:val="24"/>
          <w:lang w:val="en-US" w:bidi="ru-RU"/>
        </w:rPr>
        <w:t xml:space="preserve"> limited liability company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 (General Director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Arifbaev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 R.S.) and Laboratory for chronic infection process</w:t>
      </w:r>
      <w:r w:rsidR="00901F18">
        <w:rPr>
          <w:rFonts w:ascii="Times New Roman" w:hAnsi="Times New Roman" w:cs="Times New Roman"/>
          <w:sz w:val="24"/>
          <w:szCs w:val="24"/>
          <w:lang w:val="en-US" w:bidi="ru-RU"/>
        </w:rPr>
        <w:t xml:space="preserve"> research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 (Laboratory </w:t>
      </w:r>
      <w:r w:rsidR="00D228D5">
        <w:rPr>
          <w:rFonts w:ascii="Times New Roman" w:hAnsi="Times New Roman" w:cs="Times New Roman"/>
          <w:sz w:val="24"/>
          <w:szCs w:val="24"/>
          <w:lang w:val="en-US" w:bidi="ru-RU"/>
        </w:rPr>
        <w:t>Head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 – Professor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Gulyamov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 N.G., MD) of Scientific Research Institute for Epidemiology, Microbiology and Infection Diseases under the Ministry of Health of the Republic of Uzbekistan</w:t>
      </w:r>
      <w:r w:rsidR="009E6477">
        <w:rPr>
          <w:rFonts w:ascii="Times New Roman" w:hAnsi="Times New Roman" w:cs="Times New Roman"/>
          <w:sz w:val="24"/>
          <w:szCs w:val="24"/>
          <w:lang w:val="en-US" w:bidi="ru-RU"/>
        </w:rPr>
        <w:t xml:space="preserve"> (hereinafter referred to as </w:t>
      </w:r>
      <w:r w:rsidR="009E6477" w:rsidRPr="009E6477">
        <w:rPr>
          <w:rFonts w:ascii="Times New Roman" w:hAnsi="Times New Roman" w:cs="Times New Roman"/>
          <w:i/>
          <w:sz w:val="24"/>
          <w:szCs w:val="24"/>
          <w:lang w:val="en-US" w:bidi="ru-RU"/>
        </w:rPr>
        <w:t>“</w:t>
      </w:r>
      <w:r w:rsidR="009E6477" w:rsidRPr="009E6477">
        <w:rPr>
          <w:rFonts w:ascii="Times New Roman" w:hAnsi="Times New Roman" w:cs="Times New Roman"/>
          <w:i/>
          <w:lang w:val="en-US"/>
        </w:rPr>
        <w:t xml:space="preserve">NIIEMIZ MZ </w:t>
      </w:r>
      <w:proofErr w:type="spellStart"/>
      <w:r w:rsidR="009E6477" w:rsidRPr="009E6477">
        <w:rPr>
          <w:rFonts w:ascii="Times New Roman" w:hAnsi="Times New Roman" w:cs="Times New Roman"/>
          <w:i/>
          <w:lang w:val="en-US"/>
        </w:rPr>
        <w:t>RUz</w:t>
      </w:r>
      <w:proofErr w:type="spellEnd"/>
      <w:r w:rsidR="009E6477" w:rsidRPr="009E6477">
        <w:rPr>
          <w:rFonts w:ascii="Times New Roman" w:hAnsi="Times New Roman" w:cs="Times New Roman"/>
          <w:i/>
          <w:lang w:val="en-US"/>
        </w:rPr>
        <w:t>”</w:t>
      </w:r>
      <w:r w:rsidR="009E6477">
        <w:rPr>
          <w:rFonts w:ascii="Times New Roman" w:hAnsi="Times New Roman" w:cs="Times New Roman"/>
          <w:lang w:val="en-US"/>
        </w:rPr>
        <w:t xml:space="preserve">) </w:t>
      </w:r>
      <w:r w:rsidR="009E6477" w:rsidRPr="00F7647F">
        <w:rPr>
          <w:rFonts w:ascii="Times New Roman" w:hAnsi="Times New Roman" w:cs="Times New Roman"/>
          <w:sz w:val="24"/>
          <w:szCs w:val="24"/>
          <w:lang w:val="en-US"/>
        </w:rPr>
        <w:t xml:space="preserve">(Institute Director – Professor </w:t>
      </w:r>
      <w:proofErr w:type="spellStart"/>
      <w:r w:rsidR="009E6477" w:rsidRPr="00F7647F">
        <w:rPr>
          <w:rFonts w:ascii="Times New Roman" w:hAnsi="Times New Roman" w:cs="Times New Roman"/>
          <w:sz w:val="24"/>
          <w:szCs w:val="24"/>
          <w:lang w:val="en-US"/>
        </w:rPr>
        <w:t>Tuichiev</w:t>
      </w:r>
      <w:proofErr w:type="spellEnd"/>
      <w:r w:rsidR="009E6477" w:rsidRPr="00F7647F">
        <w:rPr>
          <w:rFonts w:ascii="Times New Roman" w:hAnsi="Times New Roman" w:cs="Times New Roman"/>
          <w:sz w:val="24"/>
          <w:szCs w:val="24"/>
          <w:lang w:val="en-US"/>
        </w:rPr>
        <w:t xml:space="preserve"> L.D., MD),</w:t>
      </w:r>
      <w:r w:rsidR="009E6477">
        <w:rPr>
          <w:rFonts w:ascii="Times New Roman" w:hAnsi="Times New Roman" w:cs="Times New Roman"/>
          <w:lang w:val="en-US"/>
        </w:rPr>
        <w:t xml:space="preserve">  </w:t>
      </w:r>
      <w:r w:rsidR="009E6477">
        <w:rPr>
          <w:rFonts w:ascii="Times New Roman" w:hAnsi="Times New Roman" w:cs="Times New Roman"/>
          <w:sz w:val="24"/>
          <w:szCs w:val="24"/>
          <w:lang w:val="en-US" w:bidi="ru-RU"/>
        </w:rPr>
        <w:t>there has been issued the testing record No.2 of April 29, 2013 as to EIA</w:t>
      </w:r>
      <w:r w:rsidR="00A64EA6">
        <w:rPr>
          <w:rFonts w:ascii="Times New Roman" w:hAnsi="Times New Roman" w:cs="Times New Roman"/>
          <w:sz w:val="24"/>
          <w:szCs w:val="24"/>
          <w:lang w:val="en-US" w:bidi="ru-RU"/>
        </w:rPr>
        <w:t xml:space="preserve"> tests</w:t>
      </w:r>
      <w:r w:rsidR="009E6477">
        <w:rPr>
          <w:rFonts w:ascii="Times New Roman" w:hAnsi="Times New Roman" w:cs="Times New Roman"/>
          <w:sz w:val="24"/>
          <w:szCs w:val="24"/>
          <w:lang w:val="en-US" w:bidi="ru-RU"/>
        </w:rPr>
        <w:t xml:space="preserve"> of serum and lymphocyte content of donor blood for</w:t>
      </w:r>
      <w:r w:rsidR="00F2259B">
        <w:rPr>
          <w:rFonts w:ascii="Times New Roman" w:hAnsi="Times New Roman" w:cs="Times New Roman"/>
          <w:sz w:val="24"/>
          <w:szCs w:val="24"/>
          <w:lang w:val="en-US" w:bidi="ru-RU"/>
        </w:rPr>
        <w:t xml:space="preserve"> detecting</w:t>
      </w:r>
      <w:r w:rsidR="009C74C8">
        <w:rPr>
          <w:rFonts w:ascii="Times New Roman" w:hAnsi="Times New Roman" w:cs="Times New Roman"/>
          <w:sz w:val="24"/>
          <w:szCs w:val="24"/>
          <w:lang w:val="en-US" w:bidi="ru-RU"/>
        </w:rPr>
        <w:t xml:space="preserve"> of</w:t>
      </w:r>
      <w:r w:rsidR="009E6477">
        <w:rPr>
          <w:rFonts w:ascii="Times New Roman" w:hAnsi="Times New Roman" w:cs="Times New Roman"/>
          <w:sz w:val="24"/>
          <w:szCs w:val="24"/>
          <w:lang w:val="en-US" w:bidi="ru-RU"/>
        </w:rPr>
        <w:t xml:space="preserve"> HBV and HIV infection among 309</w:t>
      </w:r>
      <w:r w:rsidR="00F2259B">
        <w:rPr>
          <w:rFonts w:ascii="Times New Roman" w:hAnsi="Times New Roman" w:cs="Times New Roman"/>
          <w:sz w:val="24"/>
          <w:szCs w:val="24"/>
          <w:lang w:val="en-US" w:bidi="ru-RU"/>
        </w:rPr>
        <w:t xml:space="preserve"> </w:t>
      </w:r>
      <w:proofErr w:type="gramStart"/>
      <w:r w:rsidR="00F2259B">
        <w:rPr>
          <w:rFonts w:ascii="Times New Roman" w:hAnsi="Times New Roman" w:cs="Times New Roman"/>
          <w:sz w:val="24"/>
          <w:szCs w:val="24"/>
          <w:lang w:val="en-US" w:bidi="ru-RU"/>
        </w:rPr>
        <w:t>donors</w:t>
      </w:r>
      <w:proofErr w:type="gramEnd"/>
      <w:r w:rsidR="00F2259B">
        <w:rPr>
          <w:rFonts w:ascii="Times New Roman" w:hAnsi="Times New Roman" w:cs="Times New Roman"/>
          <w:sz w:val="24"/>
          <w:szCs w:val="24"/>
          <w:lang w:val="en-US" w:bidi="ru-RU"/>
        </w:rPr>
        <w:t xml:space="preserve"> subjected to testing.</w:t>
      </w:r>
    </w:p>
    <w:p w:rsidR="009529C8" w:rsidRPr="00E45266" w:rsidRDefault="00C5108A" w:rsidP="009529C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ru-RU"/>
        </w:rPr>
        <w:t xml:space="preserve">         </w:t>
      </w:r>
      <w:r w:rsidR="00F2259B" w:rsidRPr="00E45266">
        <w:rPr>
          <w:rFonts w:ascii="Times New Roman" w:hAnsi="Times New Roman" w:cs="Times New Roman"/>
          <w:b/>
          <w:sz w:val="24"/>
          <w:szCs w:val="24"/>
          <w:lang w:val="en-US" w:bidi="ru-RU"/>
        </w:rPr>
        <w:t xml:space="preserve">Testing Objective: </w:t>
      </w:r>
      <w:r w:rsidR="009529C8" w:rsidRPr="00E45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5108A" w:rsidRDefault="00F2259B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Functionality assessment of </w:t>
      </w:r>
      <w:r w:rsidRPr="009D0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“A method for detecting </w:t>
      </w:r>
      <w:proofErr w:type="spellStart"/>
      <w:r w:rsidRPr="009D0909">
        <w:rPr>
          <w:rFonts w:ascii="Times New Roman" w:hAnsi="Times New Roman" w:cs="Times New Roman"/>
          <w:i/>
          <w:sz w:val="24"/>
          <w:szCs w:val="24"/>
          <w:lang w:val="en-US"/>
        </w:rPr>
        <w:t>lymphotropic</w:t>
      </w:r>
      <w:proofErr w:type="spellEnd"/>
      <w:r w:rsidRPr="009D0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viruses</w:t>
      </w:r>
      <w:r w:rsidR="00C5108A" w:rsidRPr="009D0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D0909" w:rsidRPr="009D0909">
        <w:rPr>
          <w:rFonts w:ascii="Times New Roman" w:hAnsi="Times New Roman" w:cs="Times New Roman"/>
          <w:i/>
          <w:sz w:val="24"/>
          <w:szCs w:val="24"/>
          <w:lang w:val="en-US"/>
        </w:rPr>
        <w:t>such as</w:t>
      </w:r>
      <w:r w:rsidR="00E45266" w:rsidRPr="009D0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hepatitis B virus (HBV) and human immunodeficiency virus (HIV)</w:t>
      </w:r>
      <w:r w:rsidR="00C5108A" w:rsidRPr="009D090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45266" w:rsidRPr="009D0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108A" w:rsidRPr="009D0909">
        <w:rPr>
          <w:rFonts w:ascii="Times New Roman" w:hAnsi="Times New Roman" w:cs="Times New Roman"/>
          <w:i/>
          <w:sz w:val="24"/>
          <w:szCs w:val="24"/>
          <w:lang w:val="en-US"/>
        </w:rPr>
        <w:t>in biological substrates having low content of viral particles, assessment of their viability, and exclusion of false-negative results of EIA</w:t>
      </w:r>
      <w:r w:rsidR="00A64EA6" w:rsidRPr="009D0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testing</w:t>
      </w:r>
      <w:r w:rsidR="00C5108A" w:rsidRPr="009D090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9D09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9D0909">
        <w:rPr>
          <w:rFonts w:ascii="Times New Roman" w:hAnsi="Times New Roman" w:cs="Times New Roman"/>
          <w:sz w:val="24"/>
          <w:szCs w:val="24"/>
          <w:lang w:val="en-US"/>
        </w:rPr>
        <w:t>A comparative analysis of a rate</w:t>
      </w:r>
      <w:r w:rsidR="00C5108A">
        <w:rPr>
          <w:rFonts w:ascii="Times New Roman" w:hAnsi="Times New Roman" w:cs="Times New Roman"/>
          <w:sz w:val="24"/>
          <w:szCs w:val="24"/>
          <w:lang w:val="en-US"/>
        </w:rPr>
        <w:t xml:space="preserve"> of HBV and HIV marker detection in</w:t>
      </w:r>
      <w:r w:rsidR="009D0909">
        <w:rPr>
          <w:rFonts w:ascii="Times New Roman" w:hAnsi="Times New Roman" w:cs="Times New Roman"/>
          <w:sz w:val="24"/>
          <w:szCs w:val="24"/>
          <w:lang w:val="en-US"/>
        </w:rPr>
        <w:t xml:space="preserve"> EIA testing of</w:t>
      </w:r>
      <w:r w:rsidR="00C5108A">
        <w:rPr>
          <w:rFonts w:ascii="Times New Roman" w:hAnsi="Times New Roman" w:cs="Times New Roman"/>
          <w:sz w:val="24"/>
          <w:szCs w:val="24"/>
          <w:lang w:val="en-US"/>
        </w:rPr>
        <w:t xml:space="preserve"> serum and lymphocyte content of donor blood.</w:t>
      </w:r>
      <w:proofErr w:type="gramEnd"/>
    </w:p>
    <w:p w:rsidR="00C5108A" w:rsidRDefault="00C5108A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08A" w:rsidRPr="006F5CBB" w:rsidRDefault="00C5108A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CBB">
        <w:rPr>
          <w:rFonts w:ascii="Times New Roman" w:hAnsi="Times New Roman" w:cs="Times New Roman"/>
          <w:b/>
          <w:sz w:val="24"/>
          <w:szCs w:val="24"/>
          <w:lang w:val="en-US"/>
        </w:rPr>
        <w:t>Preamble:</w:t>
      </w:r>
    </w:p>
    <w:p w:rsidR="00C5108A" w:rsidRDefault="00C5108A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08A" w:rsidRDefault="003F52BB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data of s</w:t>
      </w:r>
      <w:r w:rsidR="00C5108A">
        <w:rPr>
          <w:rFonts w:ascii="Times New Roman" w:hAnsi="Times New Roman" w:cs="Times New Roman"/>
          <w:sz w:val="24"/>
          <w:szCs w:val="24"/>
          <w:lang w:val="en-US"/>
        </w:rPr>
        <w:t xml:space="preserve">cientific reports by medical researches of CIS countries and Republic of Uzbekistan </w:t>
      </w:r>
      <w:r w:rsidR="006F5CBB">
        <w:rPr>
          <w:rFonts w:ascii="Times New Roman" w:hAnsi="Times New Roman" w:cs="Times New Roman"/>
          <w:sz w:val="24"/>
          <w:szCs w:val="24"/>
          <w:lang w:val="en-US"/>
        </w:rPr>
        <w:t>claim</w:t>
      </w:r>
      <w:r w:rsidR="00C5108A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F5CBB">
        <w:rPr>
          <w:rFonts w:ascii="Times New Roman" w:hAnsi="Times New Roman" w:cs="Times New Roman"/>
          <w:sz w:val="24"/>
          <w:szCs w:val="24"/>
          <w:lang w:val="en-US"/>
        </w:rPr>
        <w:t xml:space="preserve"> from 30-40% to 60-80% of HBV and HCV infection cases related to human subjects, especially those related to children, including  HIV infection cases, tend to occur as a result of transfusion of infected donor blood or </w:t>
      </w:r>
      <w:r w:rsidR="00124614">
        <w:rPr>
          <w:rFonts w:ascii="Times New Roman" w:hAnsi="Times New Roman" w:cs="Times New Roman"/>
          <w:sz w:val="24"/>
          <w:szCs w:val="24"/>
          <w:lang w:val="en-US"/>
        </w:rPr>
        <w:t>infected blood-</w:t>
      </w:r>
      <w:r w:rsidR="00514BED">
        <w:rPr>
          <w:rFonts w:ascii="Times New Roman" w:hAnsi="Times New Roman" w:cs="Times New Roman"/>
          <w:sz w:val="24"/>
          <w:szCs w:val="24"/>
          <w:lang w:val="en-US"/>
        </w:rPr>
        <w:t>derived products</w:t>
      </w:r>
      <w:r w:rsidR="006F5CBB">
        <w:rPr>
          <w:rFonts w:ascii="Times New Roman" w:hAnsi="Times New Roman" w:cs="Times New Roman"/>
          <w:sz w:val="24"/>
          <w:szCs w:val="24"/>
          <w:lang w:val="en-US"/>
        </w:rPr>
        <w:t xml:space="preserve">, i.e. during medical manipulations. This is a direct evidence of deficiencies of existing testing methods currently used for examination of donor blood for detecting </w:t>
      </w:r>
      <w:r w:rsidR="00514BED">
        <w:rPr>
          <w:rFonts w:ascii="Times New Roman" w:hAnsi="Times New Roman" w:cs="Times New Roman"/>
          <w:sz w:val="24"/>
          <w:szCs w:val="24"/>
          <w:lang w:val="en-US"/>
        </w:rPr>
        <w:t>HBV and HCV infection and also HIV infection. Howev</w:t>
      </w:r>
      <w:r w:rsidR="00901F18">
        <w:rPr>
          <w:rFonts w:ascii="Times New Roman" w:hAnsi="Times New Roman" w:cs="Times New Roman"/>
          <w:sz w:val="24"/>
          <w:szCs w:val="24"/>
          <w:lang w:val="en-US"/>
        </w:rPr>
        <w:t>er, no research work focused on</w:t>
      </w:r>
      <w:r w:rsidR="00514BED">
        <w:rPr>
          <w:rFonts w:ascii="Times New Roman" w:hAnsi="Times New Roman" w:cs="Times New Roman"/>
          <w:sz w:val="24"/>
          <w:szCs w:val="24"/>
          <w:lang w:val="en-US"/>
        </w:rPr>
        <w:t xml:space="preserve"> discovery of reasons behind so frequent donor blood-related cases of HBV, HCV, HIV infections </w:t>
      </w:r>
      <w:r w:rsidR="00C9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14BED">
        <w:rPr>
          <w:rFonts w:ascii="Times New Roman" w:hAnsi="Times New Roman" w:cs="Times New Roman"/>
          <w:sz w:val="24"/>
          <w:szCs w:val="24"/>
          <w:lang w:val="en-US"/>
        </w:rPr>
        <w:t xml:space="preserve"> human subjects had ever been done. More than that, such issue has never been under discussion yet (</w:t>
      </w:r>
      <w:proofErr w:type="spellStart"/>
      <w:r w:rsidR="00514BED">
        <w:rPr>
          <w:rFonts w:ascii="Times New Roman" w:hAnsi="Times New Roman" w:cs="Times New Roman"/>
          <w:sz w:val="24"/>
          <w:szCs w:val="24"/>
          <w:lang w:val="en-US"/>
        </w:rPr>
        <w:t>Gulyamov</w:t>
      </w:r>
      <w:proofErr w:type="spellEnd"/>
      <w:r w:rsidR="00514BED"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 w:rsidR="00514BED">
        <w:rPr>
          <w:rFonts w:ascii="Times New Roman" w:hAnsi="Times New Roman" w:cs="Times New Roman"/>
          <w:sz w:val="24"/>
          <w:szCs w:val="24"/>
          <w:lang w:val="en-US"/>
        </w:rPr>
        <w:t>Babakhodzhaev</w:t>
      </w:r>
      <w:proofErr w:type="spellEnd"/>
      <w:r w:rsidR="00514BED">
        <w:rPr>
          <w:rFonts w:ascii="Times New Roman" w:hAnsi="Times New Roman" w:cs="Times New Roman"/>
          <w:sz w:val="24"/>
          <w:szCs w:val="24"/>
          <w:lang w:val="en-US"/>
        </w:rPr>
        <w:t xml:space="preserve"> S.N.</w:t>
      </w:r>
      <w:r w:rsidR="00DF27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14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BED">
        <w:rPr>
          <w:rFonts w:ascii="Times New Roman" w:hAnsi="Times New Roman" w:cs="Times New Roman"/>
          <w:sz w:val="24"/>
          <w:szCs w:val="24"/>
          <w:lang w:val="en-US"/>
        </w:rPr>
        <w:t>Akhmedova</w:t>
      </w:r>
      <w:proofErr w:type="spellEnd"/>
      <w:r w:rsidR="00514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BED">
        <w:rPr>
          <w:rFonts w:ascii="Times New Roman" w:hAnsi="Times New Roman" w:cs="Times New Roman"/>
          <w:sz w:val="24"/>
          <w:szCs w:val="24"/>
          <w:lang w:val="en-US"/>
        </w:rPr>
        <w:t>H.Yu</w:t>
      </w:r>
      <w:proofErr w:type="spellEnd"/>
      <w:proofErr w:type="gramStart"/>
      <w:r w:rsidR="00514BED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514BED">
        <w:rPr>
          <w:rFonts w:ascii="Times New Roman" w:hAnsi="Times New Roman" w:cs="Times New Roman"/>
          <w:sz w:val="24"/>
          <w:szCs w:val="24"/>
          <w:lang w:val="en-US"/>
        </w:rPr>
        <w:t>/ The diagnosing of viral infections in donors: EIA or PCR</w:t>
      </w:r>
      <w:r w:rsidR="00E1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B82">
        <w:rPr>
          <w:rFonts w:ascii="Times New Roman" w:hAnsi="Times New Roman" w:cs="Times New Roman"/>
          <w:sz w:val="24"/>
          <w:szCs w:val="24"/>
          <w:lang w:val="en-US"/>
        </w:rPr>
        <w:t>testing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Infections, Immunity and Pharmacology, No.3, 2005, p.p.</w:t>
      </w:r>
      <w:r w:rsidR="00906339">
        <w:rPr>
          <w:rFonts w:ascii="Times New Roman" w:hAnsi="Times New Roman" w:cs="Times New Roman"/>
          <w:sz w:val="24"/>
          <w:szCs w:val="24"/>
          <w:lang w:val="en-US"/>
        </w:rPr>
        <w:t>113 – 115).</w:t>
      </w:r>
      <w:proofErr w:type="gramEnd"/>
    </w:p>
    <w:p w:rsidR="00906339" w:rsidRDefault="00906339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addition, donor sites tend to reject about 4.5% of conserved donor blood </w:t>
      </w:r>
      <w:r w:rsidR="00E3493B">
        <w:rPr>
          <w:rFonts w:ascii="Times New Roman" w:hAnsi="Times New Roman" w:cs="Times New Roman"/>
          <w:sz w:val="24"/>
          <w:szCs w:val="24"/>
          <w:lang w:val="en-US"/>
        </w:rPr>
        <w:t xml:space="preserve">based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results of screening markers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hemotransmis</w:t>
      </w:r>
      <w:r w:rsidR="00E3493B"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 w:rsidR="00E3493B">
        <w:rPr>
          <w:rFonts w:ascii="Times New Roman" w:hAnsi="Times New Roman" w:cs="Times New Roman"/>
          <w:sz w:val="24"/>
          <w:szCs w:val="24"/>
          <w:lang w:val="en-US"/>
        </w:rPr>
        <w:t xml:space="preserve"> infections. In terms of distribution shares, donor blood rejection reasons are distributed as follows: HBV-related rejections are 20-25% and  HCV-related rejections are 30-35%, and such distribution pattern</w:t>
      </w:r>
      <w:r w:rsidR="00DF274C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E3493B">
        <w:rPr>
          <w:rFonts w:ascii="Times New Roman" w:hAnsi="Times New Roman" w:cs="Times New Roman"/>
          <w:sz w:val="24"/>
          <w:szCs w:val="24"/>
          <w:lang w:val="en-US"/>
        </w:rPr>
        <w:t xml:space="preserve"> has a substantial economic significance (</w:t>
      </w:r>
      <w:proofErr w:type="spellStart"/>
      <w:r w:rsidR="00DF274C">
        <w:rPr>
          <w:rFonts w:ascii="Times New Roman" w:hAnsi="Times New Roman" w:cs="Times New Roman"/>
          <w:sz w:val="24"/>
          <w:szCs w:val="24"/>
          <w:lang w:val="en-US"/>
        </w:rPr>
        <w:t>Onishenko</w:t>
      </w:r>
      <w:proofErr w:type="spellEnd"/>
      <w:r w:rsidR="00DF274C">
        <w:rPr>
          <w:rFonts w:ascii="Times New Roman" w:hAnsi="Times New Roman" w:cs="Times New Roman"/>
          <w:sz w:val="24"/>
          <w:szCs w:val="24"/>
          <w:lang w:val="en-US"/>
        </w:rPr>
        <w:t xml:space="preserve"> G.G., </w:t>
      </w:r>
      <w:proofErr w:type="spellStart"/>
      <w:r w:rsidR="00DF274C">
        <w:rPr>
          <w:rFonts w:ascii="Times New Roman" w:hAnsi="Times New Roman" w:cs="Times New Roman"/>
          <w:sz w:val="24"/>
          <w:szCs w:val="24"/>
          <w:lang w:val="en-US"/>
        </w:rPr>
        <w:t>Dement’eva</w:t>
      </w:r>
      <w:proofErr w:type="spellEnd"/>
      <w:r w:rsidR="00DF274C">
        <w:rPr>
          <w:rFonts w:ascii="Times New Roman" w:hAnsi="Times New Roman" w:cs="Times New Roman"/>
          <w:sz w:val="24"/>
          <w:szCs w:val="24"/>
          <w:lang w:val="en-US"/>
        </w:rPr>
        <w:t xml:space="preserve"> L.A., The spread of viral hepatitis as a threat to national security, </w:t>
      </w:r>
      <w:proofErr w:type="spellStart"/>
      <w:r w:rsidR="00DF274C">
        <w:rPr>
          <w:rFonts w:ascii="Times New Roman" w:hAnsi="Times New Roman" w:cs="Times New Roman"/>
          <w:sz w:val="24"/>
          <w:szCs w:val="24"/>
          <w:lang w:val="en-US"/>
        </w:rPr>
        <w:t>J.Microbiol</w:t>
      </w:r>
      <w:proofErr w:type="spellEnd"/>
      <w:r w:rsidR="00DF274C">
        <w:rPr>
          <w:rFonts w:ascii="Times New Roman" w:hAnsi="Times New Roman" w:cs="Times New Roman"/>
          <w:sz w:val="24"/>
          <w:szCs w:val="24"/>
          <w:lang w:val="en-US"/>
        </w:rPr>
        <w:t>., 2003, No.4, p.p.93-99).</w:t>
      </w:r>
    </w:p>
    <w:p w:rsidR="00DF274C" w:rsidRDefault="00DF274C" w:rsidP="00DF27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The key reasons behind a potential risk</w:t>
      </w:r>
      <w:r w:rsidR="00C936F9">
        <w:rPr>
          <w:rFonts w:ascii="Times New Roman" w:hAnsi="Times New Roman" w:cs="Times New Roman"/>
          <w:sz w:val="24"/>
          <w:szCs w:val="24"/>
          <w:lang w:val="en-US"/>
        </w:rPr>
        <w:t xml:space="preserve"> existing for donor blood recipients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A648C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C936F9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infect</w:t>
      </w:r>
      <w:r w:rsidR="00C936F9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infections </w:t>
      </w:r>
      <w:r w:rsidR="00124614">
        <w:rPr>
          <w:rFonts w:ascii="Times New Roman" w:hAnsi="Times New Roman" w:cs="Times New Roman"/>
          <w:sz w:val="24"/>
          <w:szCs w:val="24"/>
          <w:lang w:val="en-US"/>
        </w:rPr>
        <w:t>from blood components and blood-</w:t>
      </w:r>
      <w:r>
        <w:rPr>
          <w:rFonts w:ascii="Times New Roman" w:hAnsi="Times New Roman" w:cs="Times New Roman"/>
          <w:sz w:val="24"/>
          <w:szCs w:val="24"/>
          <w:lang w:val="en-US"/>
        </w:rPr>
        <w:t>derived products are limited sensitivity and limited specificity of</w:t>
      </w:r>
      <w:r w:rsidR="000A648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testing methods </w:t>
      </w:r>
      <w:r w:rsidR="00C936F9">
        <w:rPr>
          <w:rFonts w:ascii="Times New Roman" w:hAnsi="Times New Roman" w:cs="Times New Roman"/>
          <w:sz w:val="24"/>
          <w:szCs w:val="24"/>
          <w:lang w:val="en-US"/>
        </w:rPr>
        <w:t>used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donors </w:t>
      </w:r>
      <w:r w:rsidR="00C57F3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detect HBV and HCV infections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Gulyamov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Babakhodzhaev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S.N.,</w:t>
      </w:r>
      <w:r w:rsidRPr="00DF2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Akhmedova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H.Yu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.// The diagnosing of viral infections in donors: EIA or PCR</w:t>
      </w:r>
      <w:r w:rsidR="00E1374A">
        <w:rPr>
          <w:rFonts w:ascii="Times New Roman" w:hAnsi="Times New Roman" w:cs="Times New Roman"/>
          <w:sz w:val="24"/>
          <w:szCs w:val="24"/>
          <w:lang w:val="en-US"/>
        </w:rPr>
        <w:t xml:space="preserve"> testing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Infections, Immunity and Pharmacology, No.3, 2005, p.p.113 – 115).</w:t>
      </w:r>
      <w:proofErr w:type="gramEnd"/>
    </w:p>
    <w:p w:rsidR="00DF274C" w:rsidRDefault="00C70A15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7F39">
        <w:rPr>
          <w:rFonts w:ascii="Times New Roman" w:hAnsi="Times New Roman" w:cs="Times New Roman"/>
          <w:sz w:val="24"/>
          <w:szCs w:val="24"/>
          <w:lang w:val="en-US"/>
        </w:rPr>
        <w:t xml:space="preserve">occurrence </w:t>
      </w:r>
      <w:r>
        <w:rPr>
          <w:rFonts w:ascii="Times New Roman" w:hAnsi="Times New Roman" w:cs="Times New Roman"/>
          <w:sz w:val="24"/>
          <w:szCs w:val="24"/>
          <w:lang w:val="en-US"/>
        </w:rPr>
        <w:t>rate of HBV, HCV, HIV i</w:t>
      </w:r>
      <w:r w:rsidR="00DF274C">
        <w:rPr>
          <w:rFonts w:ascii="Times New Roman" w:hAnsi="Times New Roman" w:cs="Times New Roman"/>
          <w:sz w:val="24"/>
          <w:szCs w:val="24"/>
          <w:lang w:val="en-US"/>
        </w:rPr>
        <w:t>nfection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C57F39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human population </w:t>
      </w:r>
      <w:r w:rsidR="00C57F39">
        <w:rPr>
          <w:rFonts w:ascii="Times New Roman" w:hAnsi="Times New Roman" w:cs="Times New Roman"/>
          <w:sz w:val="24"/>
          <w:szCs w:val="24"/>
          <w:lang w:val="en-US"/>
        </w:rPr>
        <w:t>that provides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potential blood donors remains high and may vary strongly </w:t>
      </w:r>
      <w:r w:rsidR="00C57F39">
        <w:rPr>
          <w:rFonts w:ascii="Times New Roman" w:hAnsi="Times New Roman" w:cs="Times New Roman"/>
          <w:sz w:val="24"/>
          <w:szCs w:val="24"/>
          <w:lang w:val="en-US"/>
        </w:rPr>
        <w:t>all 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certain regions. Viral hepatitis having parenteral transmission mechanism turns out to be the most frequent reason of post-transfusion infectious complications.</w:t>
      </w:r>
    </w:p>
    <w:p w:rsidR="0074575C" w:rsidRDefault="00C70A15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There are some</w:t>
      </w:r>
      <w:r w:rsidR="0074575C">
        <w:rPr>
          <w:rFonts w:ascii="Times New Roman" w:hAnsi="Times New Roman" w:cs="Times New Roman"/>
          <w:sz w:val="24"/>
          <w:szCs w:val="24"/>
          <w:lang w:val="en-US"/>
        </w:rPr>
        <w:t xml:space="preserve"> separate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reports claiming that HBV and HCV, similarly to HIV, may be persistent in mononuclear blood cells, in particular in lymphocytes and macrophages. However, none of the researchers </w:t>
      </w:r>
      <w:r w:rsidR="0074575C">
        <w:rPr>
          <w:rFonts w:ascii="Times New Roman" w:hAnsi="Times New Roman" w:cs="Times New Roman"/>
          <w:sz w:val="24"/>
          <w:szCs w:val="24"/>
          <w:lang w:val="en-US"/>
        </w:rPr>
        <w:t>had even attempted to address this particular issue in terms of pathogenesis and clinical course of viral hepatitis.</w:t>
      </w:r>
    </w:p>
    <w:p w:rsidR="00C70A15" w:rsidRDefault="0074575C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basis of doing this research was laid by</w:t>
      </w:r>
      <w:r w:rsidR="00C70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C76">
        <w:rPr>
          <w:rFonts w:ascii="Times New Roman" w:hAnsi="Times New Roman" w:cs="Times New Roman"/>
          <w:sz w:val="24"/>
          <w:szCs w:val="24"/>
          <w:lang w:val="en-US"/>
        </w:rPr>
        <w:t>simultaneously exhibited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hepatotrophic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lymphotropic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properties of viruses.</w:t>
      </w:r>
    </w:p>
    <w:p w:rsidR="0074575C" w:rsidRDefault="0074575C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75C" w:rsidRPr="0074575C" w:rsidRDefault="0074575C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7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Performed </w:t>
      </w:r>
      <w:r w:rsidR="00A64EA6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="00D96AA4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</w:p>
    <w:p w:rsidR="0074575C" w:rsidRDefault="0074575C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75C" w:rsidRDefault="0074575C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present research work involves use</w:t>
      </w:r>
      <w:r w:rsidR="00E72F97">
        <w:rPr>
          <w:rFonts w:ascii="Times New Roman" w:hAnsi="Times New Roman" w:cs="Times New Roman"/>
          <w:sz w:val="24"/>
          <w:szCs w:val="24"/>
          <w:lang w:val="en-US"/>
        </w:rPr>
        <w:t xml:space="preserve"> of blood serum and lymphocytes</w:t>
      </w:r>
      <w:r w:rsidR="00857BD1">
        <w:rPr>
          <w:rFonts w:ascii="Times New Roman" w:hAnsi="Times New Roman" w:cs="Times New Roman"/>
          <w:sz w:val="24"/>
          <w:szCs w:val="24"/>
          <w:lang w:val="en-US"/>
        </w:rPr>
        <w:t xml:space="preserve"> of 309 blood donors. Blood sampling for research was performed from donors on the </w:t>
      </w:r>
      <w:proofErr w:type="spellStart"/>
      <w:r w:rsidR="00857BD1">
        <w:rPr>
          <w:rFonts w:ascii="Times New Roman" w:hAnsi="Times New Roman" w:cs="Times New Roman"/>
          <w:sz w:val="24"/>
          <w:szCs w:val="24"/>
          <w:lang w:val="en-US"/>
        </w:rPr>
        <w:t>premisses</w:t>
      </w:r>
      <w:proofErr w:type="spellEnd"/>
      <w:r w:rsidR="00857BD1">
        <w:rPr>
          <w:rFonts w:ascii="Times New Roman" w:hAnsi="Times New Roman" w:cs="Times New Roman"/>
          <w:sz w:val="24"/>
          <w:szCs w:val="24"/>
          <w:lang w:val="en-US"/>
        </w:rPr>
        <w:t xml:space="preserve"> of Mobile Blood Transfusion Station (MBTS) named “Uzbekistan </w:t>
      </w:r>
      <w:proofErr w:type="spellStart"/>
      <w:r w:rsidR="00857BD1">
        <w:rPr>
          <w:rFonts w:ascii="Times New Roman" w:hAnsi="Times New Roman" w:cs="Times New Roman"/>
          <w:sz w:val="24"/>
          <w:szCs w:val="24"/>
          <w:lang w:val="en-US"/>
        </w:rPr>
        <w:t>Temir</w:t>
      </w:r>
      <w:proofErr w:type="spellEnd"/>
      <w:r w:rsidR="008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BD1">
        <w:rPr>
          <w:rFonts w:ascii="Times New Roman" w:hAnsi="Times New Roman" w:cs="Times New Roman"/>
          <w:sz w:val="24"/>
          <w:szCs w:val="24"/>
          <w:lang w:val="en-US"/>
        </w:rPr>
        <w:t>Youllari</w:t>
      </w:r>
      <w:proofErr w:type="spellEnd"/>
      <w:r w:rsidR="00857BD1">
        <w:rPr>
          <w:rFonts w:ascii="Times New Roman" w:hAnsi="Times New Roman" w:cs="Times New Roman"/>
          <w:sz w:val="24"/>
          <w:szCs w:val="24"/>
          <w:lang w:val="en-US"/>
        </w:rPr>
        <w:t xml:space="preserve">” (Chief Medical Officer - </w:t>
      </w:r>
      <w:proofErr w:type="spellStart"/>
      <w:r w:rsidR="00857BD1">
        <w:rPr>
          <w:rFonts w:ascii="Times New Roman" w:hAnsi="Times New Roman" w:cs="Times New Roman"/>
          <w:sz w:val="24"/>
          <w:szCs w:val="24"/>
          <w:lang w:val="en-US"/>
        </w:rPr>
        <w:t>Babakhodzhaev</w:t>
      </w:r>
      <w:proofErr w:type="spellEnd"/>
      <w:r w:rsidR="00857BD1">
        <w:rPr>
          <w:rFonts w:ascii="Times New Roman" w:hAnsi="Times New Roman" w:cs="Times New Roman"/>
          <w:sz w:val="24"/>
          <w:szCs w:val="24"/>
          <w:lang w:val="en-US"/>
        </w:rPr>
        <w:t xml:space="preserve"> S.N., </w:t>
      </w:r>
      <w:proofErr w:type="spellStart"/>
      <w:r w:rsidR="00857BD1"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 w:rsidR="00857B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96A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6AA4" w:rsidRDefault="00D96AA4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As a part of testing EIA testing of blood serum and content of lymphocytes was carried out using a testing system designed for specific diagnosing HBV and HIV by means of detection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the testing, EIA of lymphocyte content was carried out on the basis of</w:t>
      </w:r>
      <w:r w:rsidR="00625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7A3" w:rsidRPr="00625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“A method for detecting </w:t>
      </w:r>
      <w:proofErr w:type="spellStart"/>
      <w:r w:rsidR="006257A3" w:rsidRPr="006257A3">
        <w:rPr>
          <w:rFonts w:ascii="Times New Roman" w:hAnsi="Times New Roman" w:cs="Times New Roman"/>
          <w:i/>
          <w:sz w:val="24"/>
          <w:szCs w:val="24"/>
          <w:lang w:val="en-US"/>
        </w:rPr>
        <w:t>lymphotropic</w:t>
      </w:r>
      <w:proofErr w:type="spellEnd"/>
      <w:r w:rsidR="006257A3" w:rsidRPr="00625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viruses, such as HBV and HIV, in biological substrates having low concentration of viral particles, assessment of their viability, and exclusion of false-negative EIA testing results”</w:t>
      </w:r>
      <w:r w:rsidR="006257A3">
        <w:rPr>
          <w:rFonts w:ascii="Times New Roman" w:hAnsi="Times New Roman" w:cs="Times New Roman"/>
          <w:sz w:val="24"/>
          <w:szCs w:val="24"/>
          <w:lang w:val="en-US"/>
        </w:rPr>
        <w:t xml:space="preserve">. In order to execute EIA testing of lymphocyte content, donors were exposed to blood sampling in an amount of 5 – 6 ml taken under fasting condition from the </w:t>
      </w:r>
      <w:proofErr w:type="spellStart"/>
      <w:r w:rsidR="006257A3">
        <w:rPr>
          <w:rFonts w:ascii="Times New Roman" w:hAnsi="Times New Roman" w:cs="Times New Roman"/>
          <w:sz w:val="24"/>
          <w:szCs w:val="24"/>
          <w:lang w:val="en-US"/>
        </w:rPr>
        <w:t>basilic</w:t>
      </w:r>
      <w:proofErr w:type="spellEnd"/>
      <w:r w:rsidR="006257A3">
        <w:rPr>
          <w:rFonts w:ascii="Times New Roman" w:hAnsi="Times New Roman" w:cs="Times New Roman"/>
          <w:sz w:val="24"/>
          <w:szCs w:val="24"/>
          <w:lang w:val="en-US"/>
        </w:rPr>
        <w:t xml:space="preserve"> vein in the mourning using vials with 2.0 ml of </w:t>
      </w:r>
      <w:r w:rsidR="006718D2">
        <w:rPr>
          <w:rFonts w:ascii="Times New Roman" w:hAnsi="Times New Roman" w:cs="Times New Roman"/>
          <w:sz w:val="24"/>
          <w:szCs w:val="24"/>
          <w:lang w:val="en-US"/>
        </w:rPr>
        <w:t xml:space="preserve">sodium chloride </w:t>
      </w:r>
      <w:r w:rsidR="006257A3">
        <w:rPr>
          <w:rFonts w:ascii="Times New Roman" w:hAnsi="Times New Roman" w:cs="Times New Roman"/>
          <w:sz w:val="24"/>
          <w:szCs w:val="24"/>
          <w:lang w:val="en-US"/>
        </w:rPr>
        <w:t>isotonic solution</w:t>
      </w:r>
      <w:r w:rsidR="006718D2">
        <w:rPr>
          <w:rFonts w:ascii="Times New Roman" w:hAnsi="Times New Roman" w:cs="Times New Roman"/>
          <w:sz w:val="24"/>
          <w:szCs w:val="24"/>
          <w:lang w:val="en-US"/>
        </w:rPr>
        <w:t xml:space="preserve"> and 2-3 drops of heparin. Lymphocytes were isolated by applying layers of heparinized whole blood onto </w:t>
      </w:r>
      <w:proofErr w:type="spellStart"/>
      <w:r w:rsidR="006718D2">
        <w:rPr>
          <w:rFonts w:ascii="Times New Roman" w:hAnsi="Times New Roman" w:cs="Times New Roman"/>
          <w:sz w:val="24"/>
          <w:szCs w:val="24"/>
          <w:lang w:val="en-US"/>
        </w:rPr>
        <w:t>ficoll-verografin</w:t>
      </w:r>
      <w:proofErr w:type="spellEnd"/>
      <w:r w:rsidR="006718D2">
        <w:rPr>
          <w:rFonts w:ascii="Times New Roman" w:hAnsi="Times New Roman" w:cs="Times New Roman"/>
          <w:sz w:val="24"/>
          <w:szCs w:val="24"/>
          <w:lang w:val="en-US"/>
        </w:rPr>
        <w:t xml:space="preserve"> solution having the density gradient d = 1</w:t>
      </w:r>
      <w:r w:rsidR="005856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18D2">
        <w:rPr>
          <w:rFonts w:ascii="Times New Roman" w:hAnsi="Times New Roman" w:cs="Times New Roman"/>
          <w:sz w:val="24"/>
          <w:szCs w:val="24"/>
          <w:lang w:val="en-US"/>
        </w:rPr>
        <w:t xml:space="preserve">077 </w:t>
      </w:r>
      <w:r w:rsidR="005856A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718D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856A7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6718D2">
        <w:rPr>
          <w:rFonts w:ascii="Times New Roman" w:hAnsi="Times New Roman" w:cs="Times New Roman"/>
          <w:sz w:val="24"/>
          <w:szCs w:val="24"/>
          <w:lang w:val="en-US"/>
        </w:rPr>
        <w:t xml:space="preserve"> at a ratio 3:1, followed by centrifuging at 1500 rpm for 15 min. The lymphocytes thus isolated were washed out twice in normal saline</w:t>
      </w:r>
      <w:r w:rsidR="005856A7">
        <w:rPr>
          <w:rFonts w:ascii="Times New Roman" w:hAnsi="Times New Roman" w:cs="Times New Roman"/>
          <w:sz w:val="24"/>
          <w:szCs w:val="24"/>
          <w:lang w:val="en-US"/>
        </w:rPr>
        <w:t xml:space="preserve"> for 15 min each time, using centrifuging at 1500 rpm. After the last centrifuging, a supernatant was removed. The precipitate comprising lymphocytes was diluted with 500 </w:t>
      </w:r>
      <w:proofErr w:type="spellStart"/>
      <w:r w:rsidR="005856A7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5856A7">
        <w:rPr>
          <w:rFonts w:ascii="Times New Roman" w:hAnsi="Times New Roman" w:cs="Times New Roman"/>
          <w:sz w:val="24"/>
          <w:szCs w:val="24"/>
          <w:lang w:val="en-US"/>
        </w:rPr>
        <w:t xml:space="preserve"> of normal saline and placed to Eppendorf vial. The isolated lymphocytes were destroyed by putting the</w:t>
      </w:r>
      <w:r w:rsidR="005856A7" w:rsidRPr="00585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6A7">
        <w:rPr>
          <w:rFonts w:ascii="Times New Roman" w:hAnsi="Times New Roman" w:cs="Times New Roman"/>
          <w:sz w:val="24"/>
          <w:szCs w:val="24"/>
          <w:lang w:val="en-US"/>
        </w:rPr>
        <w:t xml:space="preserve">Eppendorf vial to </w:t>
      </w:r>
      <w:r w:rsidR="00A64EA6">
        <w:rPr>
          <w:rFonts w:ascii="Times New Roman" w:hAnsi="Times New Roman" w:cs="Times New Roman"/>
          <w:sz w:val="24"/>
          <w:szCs w:val="24"/>
          <w:lang w:val="en-US"/>
        </w:rPr>
        <w:t>a freezer for freezing</w:t>
      </w:r>
      <w:r w:rsidR="000A648C">
        <w:rPr>
          <w:rFonts w:ascii="Times New Roman" w:hAnsi="Times New Roman" w:cs="Times New Roman"/>
          <w:sz w:val="24"/>
          <w:szCs w:val="24"/>
          <w:lang w:val="en-US"/>
        </w:rPr>
        <w:t xml:space="preserve"> the lymphocytes</w:t>
      </w:r>
      <w:r w:rsidR="00A64EA6">
        <w:rPr>
          <w:rFonts w:ascii="Times New Roman" w:hAnsi="Times New Roman" w:cs="Times New Roman"/>
          <w:sz w:val="24"/>
          <w:szCs w:val="24"/>
          <w:lang w:val="en-US"/>
        </w:rPr>
        <w:t xml:space="preserve"> at a temperature of -28</w:t>
      </w:r>
      <w:r w:rsidR="00A64EA6" w:rsidRPr="00A64E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A64EA6">
        <w:rPr>
          <w:rFonts w:ascii="Times New Roman" w:hAnsi="Times New Roman" w:cs="Times New Roman"/>
          <w:sz w:val="24"/>
          <w:szCs w:val="24"/>
          <w:lang w:val="en-US"/>
        </w:rPr>
        <w:t xml:space="preserve">C for 24 hours. The method of detecting </w:t>
      </w:r>
      <w:r w:rsidR="00A64EA6" w:rsidRPr="00175228">
        <w:rPr>
          <w:rFonts w:ascii="Times New Roman" w:hAnsi="Times New Roman" w:cs="Times New Roman"/>
          <w:sz w:val="24"/>
          <w:szCs w:val="24"/>
          <w:lang w:val="en-US"/>
        </w:rPr>
        <w:t>HBV and HIV</w:t>
      </w:r>
      <w:r w:rsidR="00A64EA6">
        <w:rPr>
          <w:rFonts w:ascii="Times New Roman" w:hAnsi="Times New Roman" w:cs="Times New Roman"/>
          <w:sz w:val="24"/>
          <w:szCs w:val="24"/>
          <w:lang w:val="en-US"/>
        </w:rPr>
        <w:t xml:space="preserve"> antigens in lymphocyte content is identical to the method of detecting the same in blood serum.</w:t>
      </w:r>
    </w:p>
    <w:p w:rsidR="00A64EA6" w:rsidRDefault="00A64EA6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 w:rsidR="00175228">
        <w:rPr>
          <w:rFonts w:ascii="Times New Roman" w:hAnsi="Times New Roman" w:cs="Times New Roman"/>
          <w:sz w:val="24"/>
          <w:szCs w:val="24"/>
          <w:lang w:val="en-US"/>
        </w:rPr>
        <w:t xml:space="preserve">detect </w:t>
      </w:r>
      <w:r w:rsidR="00175228" w:rsidRPr="00175228">
        <w:rPr>
          <w:rFonts w:ascii="Times New Roman" w:hAnsi="Times New Roman" w:cs="Times New Roman"/>
          <w:sz w:val="24"/>
          <w:szCs w:val="24"/>
          <w:lang w:val="en-US"/>
        </w:rPr>
        <w:t>HBV and HIV</w:t>
      </w:r>
      <w:r w:rsidR="00175228">
        <w:rPr>
          <w:rFonts w:ascii="Times New Roman" w:hAnsi="Times New Roman" w:cs="Times New Roman"/>
          <w:sz w:val="24"/>
          <w:szCs w:val="24"/>
          <w:lang w:val="en-US"/>
        </w:rPr>
        <w:t xml:space="preserve"> by EIA testing in blood serum and lymphocyte content, testing systems manufactured by “VECTOR – BEST”</w:t>
      </w:r>
      <w:r w:rsidR="001C6E13">
        <w:rPr>
          <w:rFonts w:ascii="Times New Roman" w:hAnsi="Times New Roman" w:cs="Times New Roman"/>
          <w:sz w:val="24"/>
          <w:szCs w:val="24"/>
          <w:lang w:val="en-US"/>
        </w:rPr>
        <w:t xml:space="preserve"> company</w:t>
      </w:r>
      <w:r w:rsidR="00175228">
        <w:rPr>
          <w:rFonts w:ascii="Times New Roman" w:hAnsi="Times New Roman" w:cs="Times New Roman"/>
          <w:sz w:val="24"/>
          <w:szCs w:val="24"/>
          <w:lang w:val="en-US"/>
        </w:rPr>
        <w:t xml:space="preserve"> and “NPO Diagnosing Systems</w:t>
      </w:r>
      <w:r w:rsidR="00EF79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75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E13">
        <w:rPr>
          <w:rFonts w:ascii="Times New Roman" w:hAnsi="Times New Roman" w:cs="Times New Roman"/>
          <w:sz w:val="24"/>
          <w:szCs w:val="24"/>
          <w:lang w:val="en-US"/>
        </w:rPr>
        <w:t xml:space="preserve">company </w:t>
      </w:r>
      <w:r w:rsidR="00175228">
        <w:rPr>
          <w:rFonts w:ascii="Times New Roman" w:hAnsi="Times New Roman" w:cs="Times New Roman"/>
          <w:sz w:val="24"/>
          <w:szCs w:val="24"/>
          <w:lang w:val="en-US"/>
        </w:rPr>
        <w:t>(Nizhniy Novgorod, Russian Federation).</w:t>
      </w:r>
    </w:p>
    <w:p w:rsidR="00175228" w:rsidRDefault="00175228" w:rsidP="00952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scope of testing was as follows:</w:t>
      </w:r>
    </w:p>
    <w:p w:rsidR="00175228" w:rsidRPr="00F35174" w:rsidRDefault="00F35174" w:rsidP="00F351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>EIA</w:t>
      </w:r>
      <w:proofErr w:type="gramEnd"/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 xml:space="preserve"> testing of donor blood serum to detect HBV infection………………….</w:t>
      </w:r>
      <w:r w:rsidRPr="00F351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>309 tests</w:t>
      </w:r>
    </w:p>
    <w:p w:rsidR="00175228" w:rsidRPr="00F35174" w:rsidRDefault="00F35174" w:rsidP="00F351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>EIA</w:t>
      </w:r>
      <w:proofErr w:type="gramEnd"/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 xml:space="preserve"> testing of lymphocyte content to detect HBV infection………………….309 tests</w:t>
      </w:r>
    </w:p>
    <w:p w:rsidR="00175228" w:rsidRPr="00F35174" w:rsidRDefault="00F35174" w:rsidP="00F351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>EIA</w:t>
      </w:r>
      <w:proofErr w:type="gramEnd"/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 xml:space="preserve"> testing of donor blood serum to detect HIV infection…………………</w:t>
      </w:r>
      <w:r w:rsidRPr="00F3517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>309 tests</w:t>
      </w:r>
    </w:p>
    <w:p w:rsidR="00175228" w:rsidRDefault="00F35174" w:rsidP="00F351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>EIA</w:t>
      </w:r>
      <w:proofErr w:type="gramEnd"/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 xml:space="preserve"> testing of lymphocyte content to detect H</w:t>
      </w:r>
      <w:r w:rsidRPr="00F351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>V infection………………….</w:t>
      </w:r>
      <w:r w:rsidRPr="00F351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5228" w:rsidRPr="00F35174">
        <w:rPr>
          <w:rFonts w:ascii="Times New Roman" w:hAnsi="Times New Roman" w:cs="Times New Roman"/>
          <w:sz w:val="24"/>
          <w:szCs w:val="24"/>
          <w:lang w:val="en-US"/>
        </w:rPr>
        <w:t>309 tests</w:t>
      </w:r>
    </w:p>
    <w:p w:rsidR="00F35174" w:rsidRDefault="00F35174" w:rsidP="00F351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5174" w:rsidRDefault="00F35174" w:rsidP="00F351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total, EIA testing</w:t>
      </w:r>
      <w:r w:rsidR="00550C24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………………………………………………….1236 tests</w:t>
      </w:r>
    </w:p>
    <w:p w:rsidR="00F35174" w:rsidRDefault="00F35174" w:rsidP="00F35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5174" w:rsidRDefault="00F35174" w:rsidP="00F35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results of comparative analysis of how often </w:t>
      </w:r>
      <w:r w:rsidRPr="00175228">
        <w:rPr>
          <w:rFonts w:ascii="Times New Roman" w:hAnsi="Times New Roman" w:cs="Times New Roman"/>
          <w:sz w:val="24"/>
          <w:szCs w:val="24"/>
          <w:lang w:val="en-US"/>
        </w:rPr>
        <w:t>HBV and HIV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7BAC">
        <w:rPr>
          <w:rFonts w:ascii="Times New Roman" w:hAnsi="Times New Roman" w:cs="Times New Roman"/>
          <w:sz w:val="24"/>
          <w:szCs w:val="24"/>
          <w:lang w:val="en-US"/>
        </w:rPr>
        <w:t xml:space="preserve">markers </w:t>
      </w:r>
      <w:r w:rsidR="00167043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867BAC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detected in donor blood serum and lymp</w:t>
      </w:r>
      <w:r w:rsidR="0095089C">
        <w:rPr>
          <w:rFonts w:ascii="Times New Roman" w:hAnsi="Times New Roman" w:cs="Times New Roman"/>
          <w:sz w:val="24"/>
          <w:szCs w:val="24"/>
          <w:lang w:val="en-US"/>
        </w:rPr>
        <w:t>hocyte content allowed to establish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following.</w:t>
      </w:r>
      <w:proofErr w:type="gramEnd"/>
      <w:r w:rsidR="00167043">
        <w:rPr>
          <w:rFonts w:ascii="Times New Roman" w:hAnsi="Times New Roman" w:cs="Times New Roman"/>
          <w:sz w:val="24"/>
          <w:szCs w:val="24"/>
          <w:lang w:val="en-US"/>
        </w:rPr>
        <w:t xml:space="preserve"> Out of 309 tested donors, 6 donors (1.94%) showed positive result of EIA testing of blood serum for HBV detection, whereas 23 donors (7.44%</w:t>
      </w:r>
      <w:proofErr w:type="gramStart"/>
      <w:r w:rsidR="00167043">
        <w:rPr>
          <w:rFonts w:ascii="Times New Roman" w:hAnsi="Times New Roman" w:cs="Times New Roman"/>
          <w:sz w:val="24"/>
          <w:szCs w:val="24"/>
          <w:lang w:val="en-US"/>
        </w:rPr>
        <w:t>)  showed</w:t>
      </w:r>
      <w:proofErr w:type="gramEnd"/>
      <w:r w:rsidR="00167043">
        <w:rPr>
          <w:rFonts w:ascii="Times New Roman" w:hAnsi="Times New Roman" w:cs="Times New Roman"/>
          <w:sz w:val="24"/>
          <w:szCs w:val="24"/>
          <w:lang w:val="en-US"/>
        </w:rPr>
        <w:t xml:space="preserve"> positive result of EIA testing of lymphocyte content</w:t>
      </w:r>
      <w:r w:rsidR="0095089C">
        <w:rPr>
          <w:rFonts w:ascii="Times New Roman" w:hAnsi="Times New Roman" w:cs="Times New Roman"/>
          <w:sz w:val="24"/>
          <w:szCs w:val="24"/>
          <w:lang w:val="en-US"/>
        </w:rPr>
        <w:t xml:space="preserve"> for the presence of HBV</w:t>
      </w:r>
      <w:r w:rsidR="001670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089C">
        <w:rPr>
          <w:rFonts w:ascii="Times New Roman" w:hAnsi="Times New Roman" w:cs="Times New Roman"/>
          <w:sz w:val="24"/>
          <w:szCs w:val="24"/>
          <w:lang w:val="en-US"/>
        </w:rPr>
        <w:t>At the same time</w:t>
      </w:r>
      <w:r w:rsidR="00167043">
        <w:rPr>
          <w:rFonts w:ascii="Times New Roman" w:hAnsi="Times New Roman" w:cs="Times New Roman"/>
          <w:sz w:val="24"/>
          <w:szCs w:val="24"/>
          <w:lang w:val="en-US"/>
        </w:rPr>
        <w:t xml:space="preserve">, a difference between positive results of EIA testing </w:t>
      </w:r>
      <w:r w:rsidR="009508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67043">
        <w:rPr>
          <w:rFonts w:ascii="Times New Roman" w:hAnsi="Times New Roman" w:cs="Times New Roman"/>
          <w:sz w:val="24"/>
          <w:szCs w:val="24"/>
          <w:lang w:val="en-US"/>
        </w:rPr>
        <w:t xml:space="preserve"> blood serum and lymphocyte content was 17 (5.5%) donors. This demonstrates </w:t>
      </w:r>
      <w:r w:rsidR="00550C24">
        <w:rPr>
          <w:rFonts w:ascii="Times New Roman" w:hAnsi="Times New Roman" w:cs="Times New Roman"/>
          <w:sz w:val="24"/>
          <w:szCs w:val="24"/>
          <w:lang w:val="en-US"/>
        </w:rPr>
        <w:t>that when it comes to EIA testing of donor blood serum a rate of false-negative results was 5.5% (Table</w:t>
      </w:r>
      <w:r w:rsidR="00950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C24">
        <w:rPr>
          <w:rFonts w:ascii="Times New Roman" w:hAnsi="Times New Roman" w:cs="Times New Roman"/>
          <w:sz w:val="24"/>
          <w:szCs w:val="24"/>
          <w:lang w:val="en-US"/>
        </w:rPr>
        <w:t>1).</w:t>
      </w:r>
    </w:p>
    <w:p w:rsidR="00550C24" w:rsidRDefault="00550C24" w:rsidP="00F35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Analysis of a rate of </w:t>
      </w:r>
      <w:r w:rsidR="00901F18">
        <w:rPr>
          <w:rFonts w:ascii="Times New Roman" w:hAnsi="Times New Roman" w:cs="Times New Roman"/>
          <w:sz w:val="24"/>
          <w:szCs w:val="24"/>
          <w:lang w:val="en-US"/>
        </w:rPr>
        <w:t>identifying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HBV-infected donors throughout various regions of the republic showed that the highest rate of HBV antigen identification was </w:t>
      </w:r>
      <w:r w:rsidR="00901F18">
        <w:rPr>
          <w:rFonts w:ascii="Times New Roman" w:hAnsi="Times New Roman" w:cs="Times New Roman"/>
          <w:sz w:val="24"/>
          <w:szCs w:val="24"/>
          <w:lang w:val="en-US"/>
        </w:rPr>
        <w:t>found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donors from Andizhan – 20% of cases and in the donors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Cocand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17.5% of cases. When it comes to the donors from Tashkent and Tashkent Region, these values were 3</w:t>
      </w:r>
      <w:r w:rsidR="00901F1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50% and 3%, respectively.</w:t>
      </w:r>
    </w:p>
    <w:p w:rsidR="00EE1EA1" w:rsidRDefault="00EE1EA1" w:rsidP="00F35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In case of EIA testing of blood serum for HIV infection detection, HIV antigen was detected in none of the donors tested (0%). Use of EIA testing of lymphocyte content for HIV detection showed positive (!) result</w:t>
      </w:r>
      <w:r w:rsidR="009D0909">
        <w:rPr>
          <w:rFonts w:ascii="Times New Roman" w:hAnsi="Times New Roman" w:cs="Times New Roman"/>
          <w:sz w:val="24"/>
          <w:szCs w:val="24"/>
          <w:lang w:val="en-US"/>
        </w:rPr>
        <w:t xml:space="preserve"> of EIA testing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1(0,32%) donor</w:t>
      </w:r>
      <w:r w:rsidR="009D0909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1EA1" w:rsidRDefault="001C1CC8" w:rsidP="001C1C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9508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C1CC8" w:rsidRPr="00D27F5B" w:rsidRDefault="001C1CC8" w:rsidP="001C1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7F5B">
        <w:rPr>
          <w:rFonts w:ascii="Times New Roman" w:hAnsi="Times New Roman" w:cs="Times New Roman"/>
          <w:i/>
          <w:sz w:val="24"/>
          <w:szCs w:val="24"/>
          <w:lang w:val="en-US"/>
        </w:rPr>
        <w:t>Comparative analysis of HBV and HIV antigen detection rate</w:t>
      </w:r>
    </w:p>
    <w:p w:rsidR="00D27F5B" w:rsidRPr="00D27F5B" w:rsidRDefault="00D27F5B" w:rsidP="001C1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27F5B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 w:rsidRPr="00D27F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serum and lymphocyte cytoplasm of EIA tested blood donors</w:t>
      </w:r>
    </w:p>
    <w:p w:rsidR="001C1CC8" w:rsidRDefault="001C1CC8" w:rsidP="00F35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1231"/>
        <w:gridCol w:w="945"/>
        <w:gridCol w:w="966"/>
        <w:gridCol w:w="1198"/>
        <w:gridCol w:w="986"/>
        <w:gridCol w:w="812"/>
        <w:gridCol w:w="1196"/>
        <w:gridCol w:w="986"/>
      </w:tblGrid>
      <w:tr w:rsidR="001E2D73" w:rsidRPr="00CC7747" w:rsidTr="001E2D73">
        <w:trPr>
          <w:trHeight w:val="430"/>
        </w:trPr>
        <w:tc>
          <w:tcPr>
            <w:tcW w:w="1059" w:type="dxa"/>
            <w:vMerge w:val="restart"/>
          </w:tcPr>
          <w:p w:rsidR="006D024F" w:rsidRPr="006D024F" w:rsidRDefault="006D024F" w:rsidP="006D024F">
            <w:pPr>
              <w:shd w:val="clear" w:color="auto" w:fill="FFFFFF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84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D024F" w:rsidRPr="006D024F" w:rsidRDefault="006D024F" w:rsidP="006D02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528" w:type="dxa"/>
            <w:vMerge w:val="restart"/>
          </w:tcPr>
          <w:p w:rsidR="001E2D73" w:rsidRDefault="001E2D73" w:rsidP="001E2D73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24F" w:rsidRPr="001E2D73" w:rsidRDefault="001E2D73" w:rsidP="001E2D73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961" w:type="dxa"/>
            <w:vMerge w:val="restart"/>
          </w:tcPr>
          <w:p w:rsidR="006D024F" w:rsidRPr="006D024F" w:rsidRDefault="006D024F" w:rsidP="001E2D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E2D73" w:rsidRPr="001E2D73" w:rsidRDefault="001E2D73" w:rsidP="001E2D7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Donors</w:t>
            </w:r>
          </w:p>
        </w:tc>
        <w:tc>
          <w:tcPr>
            <w:tcW w:w="5830" w:type="dxa"/>
            <w:gridSpan w:val="6"/>
          </w:tcPr>
          <w:p w:rsidR="006D024F" w:rsidRPr="001E2D73" w:rsidRDefault="006D024F" w:rsidP="001000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24F" w:rsidRPr="001E2D73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 of HBV and HIV marker detection</w:t>
            </w:r>
          </w:p>
        </w:tc>
      </w:tr>
      <w:tr w:rsidR="001C1CC8" w:rsidTr="008A3103">
        <w:trPr>
          <w:trHeight w:val="617"/>
        </w:trPr>
        <w:tc>
          <w:tcPr>
            <w:tcW w:w="1059" w:type="dxa"/>
            <w:vMerge/>
          </w:tcPr>
          <w:p w:rsidR="001E2D73" w:rsidRPr="006D024F" w:rsidRDefault="001E2D73" w:rsidP="006D024F">
            <w:pPr>
              <w:shd w:val="clear" w:color="auto" w:fill="FFFFFF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vMerge/>
          </w:tcPr>
          <w:p w:rsidR="001E2D73" w:rsidRPr="006D024F" w:rsidRDefault="001E2D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vMerge/>
          </w:tcPr>
          <w:p w:rsidR="001E2D73" w:rsidRPr="006D024F" w:rsidRDefault="001E2D73" w:rsidP="000A3CD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91" w:type="dxa"/>
            <w:gridSpan w:val="3"/>
          </w:tcPr>
          <w:p w:rsidR="001E2D73" w:rsidRDefault="001E2D73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E2D73" w:rsidRPr="001E2D73" w:rsidRDefault="001E2D73" w:rsidP="001E2D73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HBV</w:t>
            </w:r>
          </w:p>
        </w:tc>
        <w:tc>
          <w:tcPr>
            <w:tcW w:w="2939" w:type="dxa"/>
            <w:gridSpan w:val="3"/>
          </w:tcPr>
          <w:p w:rsidR="001C1CC8" w:rsidRDefault="001C1CC8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E2D73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1CC8">
              <w:rPr>
                <w:rFonts w:ascii="Times New Roman" w:hAnsi="Times New Roman" w:cs="Times New Roman"/>
                <w:lang w:val="en-US"/>
              </w:rPr>
              <w:t>HIV</w:t>
            </w:r>
          </w:p>
        </w:tc>
      </w:tr>
      <w:tr w:rsidR="001C1CC8" w:rsidTr="001E2D73">
        <w:trPr>
          <w:trHeight w:val="346"/>
        </w:trPr>
        <w:tc>
          <w:tcPr>
            <w:tcW w:w="1059" w:type="dxa"/>
            <w:vMerge/>
          </w:tcPr>
          <w:p w:rsidR="006D024F" w:rsidRPr="006D024F" w:rsidRDefault="006D024F" w:rsidP="006D024F">
            <w:pPr>
              <w:shd w:val="clear" w:color="auto" w:fill="FFFFFF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vMerge/>
          </w:tcPr>
          <w:p w:rsidR="006D024F" w:rsidRPr="006D024F" w:rsidRDefault="006D02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vMerge/>
          </w:tcPr>
          <w:p w:rsidR="006D024F" w:rsidRPr="006D024F" w:rsidRDefault="006D024F" w:rsidP="000A3CD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</w:tcPr>
          <w:p w:rsidR="006D024F" w:rsidRPr="001E2D73" w:rsidRDefault="001E2D73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Serum</w:t>
            </w:r>
          </w:p>
        </w:tc>
        <w:tc>
          <w:tcPr>
            <w:tcW w:w="1202" w:type="dxa"/>
          </w:tcPr>
          <w:p w:rsidR="006D024F" w:rsidRPr="001E2D73" w:rsidRDefault="001E2D73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Lymphocytes</w:t>
            </w:r>
          </w:p>
        </w:tc>
        <w:tc>
          <w:tcPr>
            <w:tcW w:w="918" w:type="dxa"/>
          </w:tcPr>
          <w:p w:rsidR="006D024F" w:rsidRPr="001E2D73" w:rsidRDefault="001E2D73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Difference</w:t>
            </w:r>
          </w:p>
        </w:tc>
        <w:tc>
          <w:tcPr>
            <w:tcW w:w="1047" w:type="dxa"/>
          </w:tcPr>
          <w:p w:rsidR="006D024F" w:rsidRPr="006D024F" w:rsidRDefault="001E2D73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Serum</w:t>
            </w:r>
          </w:p>
        </w:tc>
        <w:tc>
          <w:tcPr>
            <w:tcW w:w="971" w:type="dxa"/>
          </w:tcPr>
          <w:p w:rsidR="006D024F" w:rsidRPr="006D024F" w:rsidRDefault="001E2D73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Lymphocytes</w:t>
            </w:r>
          </w:p>
        </w:tc>
        <w:tc>
          <w:tcPr>
            <w:tcW w:w="921" w:type="dxa"/>
          </w:tcPr>
          <w:p w:rsidR="006D024F" w:rsidRPr="006D024F" w:rsidRDefault="001E2D73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2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Difference</w:t>
            </w:r>
          </w:p>
        </w:tc>
      </w:tr>
      <w:tr w:rsidR="001C1CC8" w:rsidTr="001E2D73">
        <w:trPr>
          <w:trHeight w:val="1279"/>
        </w:trPr>
        <w:tc>
          <w:tcPr>
            <w:tcW w:w="1059" w:type="dxa"/>
          </w:tcPr>
          <w:p w:rsidR="001E2D73" w:rsidRDefault="001E2D73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D73" w:rsidRDefault="001E2D73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24F" w:rsidRPr="006D024F" w:rsidRDefault="006D024F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8" w:type="dxa"/>
          </w:tcPr>
          <w:p w:rsid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Andizhan</w:t>
            </w:r>
          </w:p>
        </w:tc>
        <w:tc>
          <w:tcPr>
            <w:tcW w:w="961" w:type="dxa"/>
          </w:tcPr>
          <w:p w:rsid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71" w:type="dxa"/>
          </w:tcPr>
          <w:p w:rsidR="001C1CC8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2(5%)</w:t>
            </w:r>
          </w:p>
        </w:tc>
        <w:tc>
          <w:tcPr>
            <w:tcW w:w="1202" w:type="dxa"/>
          </w:tcPr>
          <w:p w:rsidR="001C1CC8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(20%)</w:t>
            </w:r>
          </w:p>
        </w:tc>
        <w:tc>
          <w:tcPr>
            <w:tcW w:w="918" w:type="dxa"/>
          </w:tcPr>
          <w:p w:rsidR="001C1CC8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15.0%)</w:t>
            </w:r>
          </w:p>
        </w:tc>
        <w:tc>
          <w:tcPr>
            <w:tcW w:w="1047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E2D73" w:rsidTr="001E2D73">
        <w:trPr>
          <w:trHeight w:val="1429"/>
        </w:trPr>
        <w:tc>
          <w:tcPr>
            <w:tcW w:w="1059" w:type="dxa"/>
          </w:tcPr>
          <w:p w:rsidR="001E2D73" w:rsidRDefault="001E2D73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D73" w:rsidRDefault="001E2D73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24F" w:rsidRPr="006D024F" w:rsidRDefault="006D024F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8" w:type="dxa"/>
          </w:tcPr>
          <w:p w:rsid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2D73">
              <w:rPr>
                <w:rFonts w:ascii="Times New Roman" w:hAnsi="Times New Roman" w:cs="Times New Roman"/>
                <w:lang w:val="en-US"/>
              </w:rPr>
              <w:t>Cocand</w:t>
            </w:r>
            <w:proofErr w:type="spellEnd"/>
          </w:p>
        </w:tc>
        <w:tc>
          <w:tcPr>
            <w:tcW w:w="961" w:type="dxa"/>
          </w:tcPr>
          <w:p w:rsid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71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2(5%)</w:t>
            </w:r>
          </w:p>
        </w:tc>
        <w:tc>
          <w:tcPr>
            <w:tcW w:w="1202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7(17.5%)</w:t>
            </w:r>
          </w:p>
        </w:tc>
        <w:tc>
          <w:tcPr>
            <w:tcW w:w="918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5(12.5%)</w:t>
            </w:r>
          </w:p>
        </w:tc>
        <w:tc>
          <w:tcPr>
            <w:tcW w:w="1047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E2D73" w:rsidTr="001E2D73">
        <w:trPr>
          <w:trHeight w:val="1354"/>
        </w:trPr>
        <w:tc>
          <w:tcPr>
            <w:tcW w:w="1059" w:type="dxa"/>
          </w:tcPr>
          <w:p w:rsidR="001E2D73" w:rsidRDefault="001E2D73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D73" w:rsidRDefault="001E2D73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24F" w:rsidRPr="006D024F" w:rsidRDefault="006D024F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8" w:type="dxa"/>
          </w:tcPr>
          <w:p w:rsid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Tashkent</w:t>
            </w:r>
          </w:p>
        </w:tc>
        <w:tc>
          <w:tcPr>
            <w:tcW w:w="961" w:type="dxa"/>
          </w:tcPr>
          <w:p w:rsid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771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2(1.03%)</w:t>
            </w:r>
          </w:p>
        </w:tc>
        <w:tc>
          <w:tcPr>
            <w:tcW w:w="1202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7(3.58%)</w:t>
            </w:r>
          </w:p>
        </w:tc>
        <w:tc>
          <w:tcPr>
            <w:tcW w:w="918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5(2.55%)</w:t>
            </w:r>
          </w:p>
        </w:tc>
        <w:tc>
          <w:tcPr>
            <w:tcW w:w="1047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E2D73" w:rsidTr="001E2D73">
        <w:trPr>
          <w:trHeight w:val="1356"/>
        </w:trPr>
        <w:tc>
          <w:tcPr>
            <w:tcW w:w="1059" w:type="dxa"/>
          </w:tcPr>
          <w:p w:rsidR="001E2D73" w:rsidRDefault="001E2D73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D73" w:rsidRDefault="001E2D73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24F" w:rsidRPr="006D024F" w:rsidRDefault="006D024F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8" w:type="dxa"/>
          </w:tcPr>
          <w:p w:rsid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Tashkent Region</w:t>
            </w:r>
          </w:p>
        </w:tc>
        <w:tc>
          <w:tcPr>
            <w:tcW w:w="961" w:type="dxa"/>
          </w:tcPr>
          <w:p w:rsid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E2D73" w:rsidRDefault="001E2D73" w:rsidP="001E2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71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(3.0%)</w:t>
            </w:r>
          </w:p>
        </w:tc>
        <w:tc>
          <w:tcPr>
            <w:tcW w:w="918" w:type="dxa"/>
          </w:tcPr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(3.0%)</w:t>
            </w:r>
          </w:p>
        </w:tc>
        <w:tc>
          <w:tcPr>
            <w:tcW w:w="1047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1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</w:tcPr>
          <w:p w:rsidR="006D024F" w:rsidRPr="006D024F" w:rsidRDefault="006D024F" w:rsidP="006D02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E2D73" w:rsidTr="001E2D73">
        <w:trPr>
          <w:trHeight w:val="692"/>
        </w:trPr>
        <w:tc>
          <w:tcPr>
            <w:tcW w:w="2587" w:type="dxa"/>
            <w:gridSpan w:val="2"/>
          </w:tcPr>
          <w:p w:rsidR="006D024F" w:rsidRDefault="006D024F" w:rsidP="006D024F">
            <w:pPr>
              <w:shd w:val="clear" w:color="auto" w:fill="FFFFFF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D024F" w:rsidRPr="006D024F" w:rsidRDefault="006D024F" w:rsidP="006D024F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total</w:t>
            </w:r>
          </w:p>
        </w:tc>
        <w:tc>
          <w:tcPr>
            <w:tcW w:w="961" w:type="dxa"/>
          </w:tcPr>
          <w:p w:rsidR="001E2D73" w:rsidRDefault="001E2D73" w:rsidP="001E2D73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D024F" w:rsidRPr="001E2D73" w:rsidRDefault="001E2D73" w:rsidP="001E2D73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D73">
              <w:rPr>
                <w:rFonts w:ascii="Times New Roman" w:hAnsi="Times New Roman" w:cs="Times New Roman"/>
                <w:lang w:val="en-US"/>
              </w:rPr>
              <w:t>309</w:t>
            </w:r>
          </w:p>
        </w:tc>
        <w:tc>
          <w:tcPr>
            <w:tcW w:w="771" w:type="dxa"/>
          </w:tcPr>
          <w:p w:rsid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6(1.94%)</w:t>
            </w:r>
          </w:p>
        </w:tc>
        <w:tc>
          <w:tcPr>
            <w:tcW w:w="1202" w:type="dxa"/>
          </w:tcPr>
          <w:p w:rsid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23(7.44)</w:t>
            </w:r>
          </w:p>
        </w:tc>
        <w:tc>
          <w:tcPr>
            <w:tcW w:w="918" w:type="dxa"/>
          </w:tcPr>
          <w:p w:rsid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024F" w:rsidRP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17(5.5%)</w:t>
            </w:r>
          </w:p>
        </w:tc>
        <w:tc>
          <w:tcPr>
            <w:tcW w:w="1047" w:type="dxa"/>
          </w:tcPr>
          <w:p w:rsid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1" w:type="dxa"/>
          </w:tcPr>
          <w:p w:rsid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1(0.32%)</w:t>
            </w:r>
          </w:p>
        </w:tc>
        <w:tc>
          <w:tcPr>
            <w:tcW w:w="921" w:type="dxa"/>
          </w:tcPr>
          <w:p w:rsid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24F" w:rsidRPr="001C1CC8" w:rsidRDefault="001C1CC8" w:rsidP="001C1CC8">
            <w:pPr>
              <w:shd w:val="clear" w:color="auto" w:fill="FFFFFF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1(0.32%)</w:t>
            </w:r>
          </w:p>
        </w:tc>
      </w:tr>
    </w:tbl>
    <w:p w:rsidR="00175228" w:rsidRDefault="00D27F5B" w:rsidP="00175228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P&lt;0.05 means </w:t>
      </w:r>
      <w:r w:rsidR="00A30D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statistical significance as compared to values </w:t>
      </w:r>
      <w:r w:rsidR="000A648C">
        <w:rPr>
          <w:rFonts w:ascii="Times New Roman" w:hAnsi="Times New Roman" w:cs="Times New Roman"/>
          <w:sz w:val="24"/>
          <w:szCs w:val="24"/>
          <w:lang w:val="en-US"/>
        </w:rPr>
        <w:t>that characterize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group of donors </w:t>
      </w:r>
      <w:r w:rsidR="00C67F12">
        <w:rPr>
          <w:rFonts w:ascii="Times New Roman" w:hAnsi="Times New Roman" w:cs="Times New Roman"/>
          <w:sz w:val="24"/>
          <w:szCs w:val="24"/>
          <w:lang w:val="en-US"/>
        </w:rPr>
        <w:t>exposed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HBV marker detection in lymphocyte content.</w:t>
      </w:r>
    </w:p>
    <w:p w:rsidR="00D27F5B" w:rsidRDefault="00D27F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27F5B" w:rsidRPr="000D232B" w:rsidRDefault="00D27F5B" w:rsidP="00D27F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3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CONCLUSIONS:</w:t>
      </w:r>
    </w:p>
    <w:p w:rsidR="00D27F5B" w:rsidRDefault="00D27F5B" w:rsidP="00175228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F5B" w:rsidRDefault="00D27F5B" w:rsidP="00D27F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27F5B">
        <w:rPr>
          <w:rFonts w:ascii="Times New Roman" w:hAnsi="Times New Roman" w:cs="Times New Roman"/>
          <w:sz w:val="24"/>
          <w:szCs w:val="24"/>
          <w:lang w:val="en-US"/>
        </w:rPr>
        <w:t>comparative analysis of HBV and HIV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antigen detection rate</w:t>
      </w:r>
      <w:r w:rsidR="000D232B">
        <w:rPr>
          <w:rFonts w:ascii="Times New Roman" w:hAnsi="Times New Roman" w:cs="Times New Roman"/>
          <w:sz w:val="24"/>
          <w:szCs w:val="24"/>
          <w:lang w:val="en-US"/>
        </w:rPr>
        <w:t xml:space="preserve">, which was focused </w:t>
      </w:r>
      <w:proofErr w:type="gramStart"/>
      <w:r w:rsidR="000D232B">
        <w:rPr>
          <w:rFonts w:ascii="Times New Roman" w:hAnsi="Times New Roman" w:cs="Times New Roman"/>
          <w:sz w:val="24"/>
          <w:szCs w:val="24"/>
          <w:lang w:val="en-US"/>
        </w:rPr>
        <w:t>on  blood</w:t>
      </w:r>
      <w:proofErr w:type="gramEnd"/>
      <w:r w:rsidR="000D232B">
        <w:rPr>
          <w:rFonts w:ascii="Times New Roman" w:hAnsi="Times New Roman" w:cs="Times New Roman"/>
          <w:sz w:val="24"/>
          <w:szCs w:val="24"/>
          <w:lang w:val="en-US"/>
        </w:rPr>
        <w:t xml:space="preserve"> serum and lymphocyte content obtained from 309 donors, allowed to </w:t>
      </w:r>
      <w:r w:rsidR="00C936F9"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="000D232B">
        <w:rPr>
          <w:rFonts w:ascii="Times New Roman" w:hAnsi="Times New Roman" w:cs="Times New Roman"/>
          <w:sz w:val="24"/>
          <w:szCs w:val="24"/>
          <w:lang w:val="en-US"/>
        </w:rPr>
        <w:t xml:space="preserve"> the following:</w:t>
      </w:r>
    </w:p>
    <w:p w:rsidR="006F00F3" w:rsidRDefault="006F00F3" w:rsidP="00D27F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32B" w:rsidRPr="009D0909" w:rsidRDefault="009D0909" w:rsidP="009D0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0D232B" w:rsidRPr="009D090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0D232B" w:rsidRPr="009D0909">
        <w:rPr>
          <w:rFonts w:ascii="Times New Roman" w:hAnsi="Times New Roman" w:cs="Times New Roman"/>
          <w:sz w:val="24"/>
          <w:szCs w:val="24"/>
          <w:lang w:val="en-US"/>
        </w:rPr>
        <w:t xml:space="preserve"> the event of EIA testing of blood serum from 309 donors for HBV infection detection, the test result was false-negative in 5.5% of cases. Use of </w:t>
      </w:r>
      <w:r w:rsidR="000D232B" w:rsidRPr="009D0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“A method for detecting </w:t>
      </w:r>
      <w:proofErr w:type="spellStart"/>
      <w:r w:rsidR="000D232B" w:rsidRPr="009D0909">
        <w:rPr>
          <w:rFonts w:ascii="Times New Roman" w:hAnsi="Times New Roman" w:cs="Times New Roman"/>
          <w:i/>
          <w:sz w:val="24"/>
          <w:szCs w:val="24"/>
          <w:lang w:val="en-US"/>
        </w:rPr>
        <w:t>lymphotropic</w:t>
      </w:r>
      <w:proofErr w:type="spellEnd"/>
      <w:r w:rsidR="000D232B" w:rsidRPr="009D0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viruses, such as HBV and HIV, in biological substrates having low concentration of viral particles, assessment of their viability, and exclusion of false-negative EIA testing results”</w:t>
      </w:r>
      <w:r w:rsidR="000D232B" w:rsidRPr="009D0909">
        <w:rPr>
          <w:rFonts w:ascii="Times New Roman" w:hAnsi="Times New Roman" w:cs="Times New Roman"/>
          <w:sz w:val="24"/>
          <w:szCs w:val="24"/>
          <w:lang w:val="en-US"/>
        </w:rPr>
        <w:t xml:space="preserve"> allowed to detect additionally HBV antigen in lymphocyte content of said 5.5% of donors.</w:t>
      </w:r>
    </w:p>
    <w:p w:rsidR="006F00F3" w:rsidRDefault="006F00F3" w:rsidP="000D2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185" w:rsidRDefault="000D232B" w:rsidP="006C4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event of EIA testing of blood serum for HIV infection detection, HIV antigen was detected in none (0%) of the donors being tested.</w:t>
      </w:r>
      <w:r w:rsidR="006F00F3">
        <w:rPr>
          <w:rFonts w:ascii="Times New Roman" w:hAnsi="Times New Roman" w:cs="Times New Roman"/>
          <w:sz w:val="24"/>
          <w:szCs w:val="24"/>
          <w:lang w:val="en-US"/>
        </w:rPr>
        <w:t xml:space="preserve"> Use of </w:t>
      </w:r>
      <w:r w:rsidR="006F00F3" w:rsidRPr="00625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“A method for detecting </w:t>
      </w:r>
      <w:proofErr w:type="spellStart"/>
      <w:r w:rsidR="006F00F3" w:rsidRPr="006257A3">
        <w:rPr>
          <w:rFonts w:ascii="Times New Roman" w:hAnsi="Times New Roman" w:cs="Times New Roman"/>
          <w:i/>
          <w:sz w:val="24"/>
          <w:szCs w:val="24"/>
          <w:lang w:val="en-US"/>
        </w:rPr>
        <w:t>lymphotropic</w:t>
      </w:r>
      <w:proofErr w:type="spellEnd"/>
      <w:r w:rsidR="006F00F3" w:rsidRPr="00625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viruses, such as HBV and HIV, in biological substrates having low concentration of viral particles, assessment of their viability, and exclusion of false-negative EIA testing results”</w:t>
      </w:r>
      <w:r w:rsidR="006C4185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6C4185" w:rsidRPr="006C4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185">
        <w:rPr>
          <w:rFonts w:ascii="Times New Roman" w:hAnsi="Times New Roman" w:cs="Times New Roman"/>
          <w:sz w:val="24"/>
          <w:szCs w:val="24"/>
          <w:lang w:val="en-US"/>
        </w:rPr>
        <w:t>EIA testing of lymphocyte content for HIV infection detection, allowed to detect positive (!) result</w:t>
      </w:r>
      <w:r w:rsidR="009D0909">
        <w:rPr>
          <w:rFonts w:ascii="Times New Roman" w:hAnsi="Times New Roman" w:cs="Times New Roman"/>
          <w:sz w:val="24"/>
          <w:szCs w:val="24"/>
          <w:lang w:val="en-US"/>
        </w:rPr>
        <w:t xml:space="preserve"> of EIA testing</w:t>
      </w:r>
      <w:r w:rsidR="005669B0">
        <w:rPr>
          <w:rFonts w:ascii="Times New Roman" w:hAnsi="Times New Roman" w:cs="Times New Roman"/>
          <w:sz w:val="24"/>
          <w:szCs w:val="24"/>
          <w:lang w:val="en-US"/>
        </w:rPr>
        <w:t xml:space="preserve"> for HIV</w:t>
      </w:r>
      <w:r w:rsidR="006C4185">
        <w:rPr>
          <w:rFonts w:ascii="Times New Roman" w:hAnsi="Times New Roman" w:cs="Times New Roman"/>
          <w:sz w:val="24"/>
          <w:szCs w:val="24"/>
          <w:lang w:val="en-US"/>
        </w:rPr>
        <w:t xml:space="preserve"> in 1(0,32%) donor.</w:t>
      </w:r>
    </w:p>
    <w:p w:rsidR="009D0909" w:rsidRDefault="009D0909" w:rsidP="006C4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0909" w:rsidRPr="009D0909" w:rsidRDefault="009D0909" w:rsidP="006C4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625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“A method for detecting </w:t>
      </w:r>
      <w:proofErr w:type="spellStart"/>
      <w:r w:rsidRPr="006257A3">
        <w:rPr>
          <w:rFonts w:ascii="Times New Roman" w:hAnsi="Times New Roman" w:cs="Times New Roman"/>
          <w:i/>
          <w:sz w:val="24"/>
          <w:szCs w:val="24"/>
          <w:lang w:val="en-US"/>
        </w:rPr>
        <w:t>lymphotropic</w:t>
      </w:r>
      <w:proofErr w:type="spellEnd"/>
      <w:r w:rsidRPr="00625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viruses, such as HBV and HIV, in biological substrates having low concentration of viral particles, assessment of their viability, and exclusion of false-negative EIA testing results”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suggested by </w:t>
      </w:r>
      <w:r w:rsidR="00F7647F">
        <w:rPr>
          <w:rFonts w:ascii="Times New Roman" w:hAnsi="Times New Roman" w:cs="Times New Roman"/>
          <w:sz w:val="24"/>
          <w:szCs w:val="24"/>
          <w:lang w:val="en-US" w:bidi="ru-RU"/>
        </w:rPr>
        <w:t>“New Medical Technologies” limited liability company</w:t>
      </w:r>
      <w:r w:rsidR="004425D9">
        <w:rPr>
          <w:rFonts w:ascii="Times New Roman" w:hAnsi="Times New Roman" w:cs="Times New Roman"/>
          <w:sz w:val="24"/>
          <w:szCs w:val="24"/>
          <w:lang w:val="en-US" w:bidi="ru-RU"/>
        </w:rPr>
        <w:t xml:space="preserve"> enables the researchers to exclude false-negative EIA testing results when donor blood is tested </w:t>
      </w:r>
      <w:r w:rsidR="000145EE">
        <w:rPr>
          <w:rFonts w:ascii="Times New Roman" w:hAnsi="Times New Roman" w:cs="Times New Roman"/>
          <w:sz w:val="24"/>
          <w:szCs w:val="24"/>
          <w:lang w:val="en-US" w:bidi="ru-RU"/>
        </w:rPr>
        <w:t xml:space="preserve">to determine whether it is </w:t>
      </w:r>
      <w:r w:rsidR="004425D9">
        <w:rPr>
          <w:rFonts w:ascii="Times New Roman" w:hAnsi="Times New Roman" w:cs="Times New Roman"/>
          <w:sz w:val="24"/>
          <w:szCs w:val="24"/>
          <w:lang w:val="en-US" w:bidi="ru-RU"/>
        </w:rPr>
        <w:t>infected</w:t>
      </w:r>
      <w:r w:rsidR="000145EE">
        <w:rPr>
          <w:rFonts w:ascii="Times New Roman" w:hAnsi="Times New Roman" w:cs="Times New Roman"/>
          <w:sz w:val="24"/>
          <w:szCs w:val="24"/>
          <w:lang w:val="en-US" w:bidi="ru-RU"/>
        </w:rPr>
        <w:t xml:space="preserve"> or not</w:t>
      </w:r>
      <w:r w:rsidR="004425D9">
        <w:rPr>
          <w:rFonts w:ascii="Times New Roman" w:hAnsi="Times New Roman" w:cs="Times New Roman"/>
          <w:sz w:val="24"/>
          <w:szCs w:val="24"/>
          <w:lang w:val="en-US" w:bidi="ru-RU"/>
        </w:rPr>
        <w:t xml:space="preserve"> with HBV and HIV infection</w:t>
      </w:r>
      <w:r w:rsidR="000145EE">
        <w:rPr>
          <w:rFonts w:ascii="Times New Roman" w:hAnsi="Times New Roman" w:cs="Times New Roman"/>
          <w:sz w:val="24"/>
          <w:szCs w:val="24"/>
          <w:lang w:val="en-US" w:bidi="ru-RU"/>
        </w:rPr>
        <w:t xml:space="preserve">, which is essential to </w:t>
      </w:r>
      <w:r w:rsidR="00C936F9">
        <w:rPr>
          <w:rFonts w:ascii="Times New Roman" w:hAnsi="Times New Roman" w:cs="Times New Roman"/>
          <w:sz w:val="24"/>
          <w:szCs w:val="24"/>
          <w:lang w:val="en-US" w:bidi="ru-RU"/>
        </w:rPr>
        <w:t>mitigation of the</w:t>
      </w:r>
      <w:r w:rsidR="000145EE">
        <w:rPr>
          <w:rFonts w:ascii="Times New Roman" w:hAnsi="Times New Roman" w:cs="Times New Roman"/>
          <w:sz w:val="24"/>
          <w:szCs w:val="24"/>
          <w:lang w:val="en-US" w:bidi="ru-RU"/>
        </w:rPr>
        <w:t xml:space="preserve"> risk</w:t>
      </w:r>
      <w:r w:rsidR="00C936F9">
        <w:rPr>
          <w:rFonts w:ascii="Times New Roman" w:hAnsi="Times New Roman" w:cs="Times New Roman"/>
          <w:sz w:val="24"/>
          <w:szCs w:val="24"/>
          <w:lang w:val="en-US" w:bidi="ru-RU"/>
        </w:rPr>
        <w:t xml:space="preserve"> existing for donor blood recipients</w:t>
      </w:r>
      <w:r w:rsidR="000145EE">
        <w:rPr>
          <w:rFonts w:ascii="Times New Roman" w:hAnsi="Times New Roman" w:cs="Times New Roman"/>
          <w:sz w:val="24"/>
          <w:szCs w:val="24"/>
          <w:lang w:val="en-US" w:bidi="ru-RU"/>
        </w:rPr>
        <w:t xml:space="preserve"> of</w:t>
      </w:r>
      <w:r w:rsidR="00C936F9">
        <w:rPr>
          <w:rFonts w:ascii="Times New Roman" w:hAnsi="Times New Roman" w:cs="Times New Roman"/>
          <w:sz w:val="24"/>
          <w:szCs w:val="24"/>
          <w:lang w:val="en-US" w:bidi="ru-RU"/>
        </w:rPr>
        <w:t xml:space="preserve"> their</w:t>
      </w:r>
      <w:r w:rsidR="000145EE">
        <w:rPr>
          <w:rFonts w:ascii="Times New Roman" w:hAnsi="Times New Roman" w:cs="Times New Roman"/>
          <w:sz w:val="24"/>
          <w:szCs w:val="24"/>
          <w:lang w:val="en-US" w:bidi="ru-RU"/>
        </w:rPr>
        <w:t xml:space="preserve"> being infected via donor blood and </w:t>
      </w:r>
      <w:r w:rsidR="00124614">
        <w:rPr>
          <w:rFonts w:ascii="Times New Roman" w:hAnsi="Times New Roman" w:cs="Times New Roman"/>
          <w:sz w:val="24"/>
          <w:szCs w:val="24"/>
          <w:lang w:val="en-US"/>
        </w:rPr>
        <w:t>blood-</w:t>
      </w:r>
      <w:r w:rsidR="000145EE">
        <w:rPr>
          <w:rFonts w:ascii="Times New Roman" w:hAnsi="Times New Roman" w:cs="Times New Roman"/>
          <w:sz w:val="24"/>
          <w:szCs w:val="24"/>
          <w:lang w:val="en-US"/>
        </w:rPr>
        <w:t xml:space="preserve">derived products in </w:t>
      </w:r>
      <w:r w:rsidR="005669B0">
        <w:rPr>
          <w:rFonts w:ascii="Times New Roman" w:hAnsi="Times New Roman" w:cs="Times New Roman"/>
          <w:sz w:val="24"/>
          <w:szCs w:val="24"/>
          <w:lang w:val="en-US"/>
        </w:rPr>
        <w:t>day-to-day</w:t>
      </w:r>
      <w:r w:rsidR="000145EE">
        <w:rPr>
          <w:rFonts w:ascii="Times New Roman" w:hAnsi="Times New Roman" w:cs="Times New Roman"/>
          <w:sz w:val="24"/>
          <w:szCs w:val="24"/>
          <w:lang w:val="en-US"/>
        </w:rPr>
        <w:t xml:space="preserve"> health care.</w:t>
      </w:r>
    </w:p>
    <w:p w:rsidR="000D232B" w:rsidRDefault="000D232B" w:rsidP="000D2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28D5" w:rsidRPr="00C936F9" w:rsidRDefault="00D228D5" w:rsidP="000D2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F18" w:rsidRDefault="00D228D5" w:rsidP="000D2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r w:rsidR="00901F18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aboratory for chronic</w:t>
      </w:r>
      <w:r w:rsidR="00901F18">
        <w:rPr>
          <w:rFonts w:ascii="Times New Roman" w:hAnsi="Times New Roman" w:cs="Times New Roman"/>
          <w:sz w:val="24"/>
          <w:szCs w:val="24"/>
          <w:lang w:val="en-US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infection</w:t>
      </w:r>
    </w:p>
    <w:p w:rsidR="00D228D5" w:rsidRPr="00795C5A" w:rsidRDefault="00D228D5" w:rsidP="000D2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ru-RU"/>
        </w:rPr>
        <w:t>process</w:t>
      </w:r>
      <w:proofErr w:type="gramEnd"/>
      <w:r w:rsidR="00901F18">
        <w:rPr>
          <w:rFonts w:ascii="Times New Roman" w:hAnsi="Times New Roman" w:cs="Times New Roman"/>
          <w:sz w:val="24"/>
          <w:szCs w:val="24"/>
          <w:lang w:val="en-US" w:bidi="ru-RU"/>
        </w:rPr>
        <w:t xml:space="preserve"> research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 under </w:t>
      </w:r>
      <w:r>
        <w:rPr>
          <w:rFonts w:ascii="Times New Roman" w:hAnsi="Times New Roman" w:cs="Times New Roman"/>
          <w:lang w:val="en-US"/>
        </w:rPr>
        <w:t xml:space="preserve">NIIEMIZ MZ </w:t>
      </w:r>
      <w:proofErr w:type="spellStart"/>
      <w:r>
        <w:rPr>
          <w:rFonts w:ascii="Times New Roman" w:hAnsi="Times New Roman" w:cs="Times New Roman"/>
          <w:lang w:val="en-US"/>
        </w:rPr>
        <w:t>RUz</w:t>
      </w:r>
      <w:proofErr w:type="spellEnd"/>
      <w:r w:rsidR="00795C5A" w:rsidRPr="00795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5C5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795C5A" w:rsidRPr="00795C5A">
        <w:rPr>
          <w:rFonts w:ascii="Times New Roman" w:hAnsi="Times New Roman" w:cs="Times New Roman"/>
          <w:sz w:val="24"/>
          <w:szCs w:val="24"/>
          <w:lang w:val="en-US"/>
        </w:rPr>
        <w:t>[Signature]</w:t>
      </w:r>
      <w:r w:rsidR="00795C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795C5A">
        <w:rPr>
          <w:rFonts w:ascii="Times New Roman" w:hAnsi="Times New Roman" w:cs="Times New Roman"/>
          <w:sz w:val="24"/>
          <w:szCs w:val="24"/>
          <w:lang w:val="en-US" w:bidi="ru-RU"/>
        </w:rPr>
        <w:t>GULYAMOV N.G.</w:t>
      </w:r>
    </w:p>
    <w:p w:rsidR="00D228D5" w:rsidRDefault="00795C5A" w:rsidP="00795C5A">
      <w:pPr>
        <w:shd w:val="clear" w:color="auto" w:fill="FFFFFF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    Professor, MD</w:t>
      </w:r>
    </w:p>
    <w:p w:rsidR="00795C5A" w:rsidRDefault="00795C5A" w:rsidP="00795C5A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</w:p>
    <w:p w:rsidR="00795C5A" w:rsidRDefault="00795C5A" w:rsidP="00795C5A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</w:p>
    <w:p w:rsidR="00D228D5" w:rsidRDefault="00795C5A" w:rsidP="000D2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Senior research officer    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ab/>
      </w:r>
      <w:r>
        <w:rPr>
          <w:rFonts w:ascii="Times New Roman" w:hAnsi="Times New Roman" w:cs="Times New Roman"/>
          <w:sz w:val="24"/>
          <w:szCs w:val="24"/>
          <w:lang w:val="en-US" w:bidi="ru-RU"/>
        </w:rPr>
        <w:tab/>
      </w:r>
      <w:r>
        <w:rPr>
          <w:rFonts w:ascii="Times New Roman" w:hAnsi="Times New Roman" w:cs="Times New Roman"/>
          <w:sz w:val="24"/>
          <w:szCs w:val="24"/>
          <w:lang w:val="en-US" w:bidi="ru-RU"/>
        </w:rPr>
        <w:tab/>
        <w:t xml:space="preserve">         </w:t>
      </w:r>
      <w:r w:rsidRPr="00795C5A">
        <w:rPr>
          <w:rFonts w:ascii="Times New Roman" w:hAnsi="Times New Roman" w:cs="Times New Roman"/>
          <w:sz w:val="24"/>
          <w:szCs w:val="24"/>
          <w:lang w:val="en-US"/>
        </w:rPr>
        <w:t>[Signature]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AKHMEDOVA H.YU., MD</w:t>
      </w:r>
    </w:p>
    <w:p w:rsidR="00795C5A" w:rsidRPr="00795C5A" w:rsidRDefault="00795C5A" w:rsidP="000D2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95C5A" w:rsidRPr="00795C5A" w:rsidSect="006950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CB" w:rsidRDefault="00DA13CB" w:rsidP="0095089C">
      <w:pPr>
        <w:spacing w:after="0" w:line="240" w:lineRule="auto"/>
      </w:pPr>
      <w:r>
        <w:separator/>
      </w:r>
    </w:p>
  </w:endnote>
  <w:endnote w:type="continuationSeparator" w:id="0">
    <w:p w:rsidR="00DA13CB" w:rsidRDefault="00DA13CB" w:rsidP="0095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CB" w:rsidRDefault="00DA13CB" w:rsidP="0095089C">
      <w:pPr>
        <w:spacing w:after="0" w:line="240" w:lineRule="auto"/>
      </w:pPr>
      <w:r>
        <w:separator/>
      </w:r>
    </w:p>
  </w:footnote>
  <w:footnote w:type="continuationSeparator" w:id="0">
    <w:p w:rsidR="00DA13CB" w:rsidRDefault="00DA13CB" w:rsidP="0095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829"/>
      <w:docPartObj>
        <w:docPartGallery w:val="Page Numbers (Top of Page)"/>
        <w:docPartUnique/>
      </w:docPartObj>
    </w:sdtPr>
    <w:sdtEndPr/>
    <w:sdtContent>
      <w:p w:rsidR="0095089C" w:rsidRDefault="00CC774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089C" w:rsidRDefault="009508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BB9"/>
    <w:multiLevelType w:val="hybridMultilevel"/>
    <w:tmpl w:val="7C4E6116"/>
    <w:lvl w:ilvl="0" w:tplc="ED522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3454D"/>
    <w:multiLevelType w:val="hybridMultilevel"/>
    <w:tmpl w:val="5A3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0086"/>
    <w:multiLevelType w:val="hybridMultilevel"/>
    <w:tmpl w:val="85B2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6E4C"/>
    <w:multiLevelType w:val="hybridMultilevel"/>
    <w:tmpl w:val="8116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C8"/>
    <w:rsid w:val="000145EE"/>
    <w:rsid w:val="000A648C"/>
    <w:rsid w:val="000D232B"/>
    <w:rsid w:val="00124614"/>
    <w:rsid w:val="0016511E"/>
    <w:rsid w:val="00167043"/>
    <w:rsid w:val="00175228"/>
    <w:rsid w:val="001C1CC8"/>
    <w:rsid w:val="001C6E13"/>
    <w:rsid w:val="001E2D73"/>
    <w:rsid w:val="002E241D"/>
    <w:rsid w:val="003F52BB"/>
    <w:rsid w:val="00412CAA"/>
    <w:rsid w:val="004425D9"/>
    <w:rsid w:val="00447286"/>
    <w:rsid w:val="00514BED"/>
    <w:rsid w:val="00550C24"/>
    <w:rsid w:val="005669B0"/>
    <w:rsid w:val="00585465"/>
    <w:rsid w:val="005856A7"/>
    <w:rsid w:val="006257A3"/>
    <w:rsid w:val="006718D2"/>
    <w:rsid w:val="00695098"/>
    <w:rsid w:val="006C4185"/>
    <w:rsid w:val="006D024F"/>
    <w:rsid w:val="006F00F3"/>
    <w:rsid w:val="006F5CBB"/>
    <w:rsid w:val="0074575C"/>
    <w:rsid w:val="00756247"/>
    <w:rsid w:val="00795C5A"/>
    <w:rsid w:val="007F3A6E"/>
    <w:rsid w:val="00857BD1"/>
    <w:rsid w:val="00867BAC"/>
    <w:rsid w:val="00901F18"/>
    <w:rsid w:val="00906339"/>
    <w:rsid w:val="0095089C"/>
    <w:rsid w:val="009529C8"/>
    <w:rsid w:val="009C74C8"/>
    <w:rsid w:val="009D0909"/>
    <w:rsid w:val="009E6477"/>
    <w:rsid w:val="00A30D9E"/>
    <w:rsid w:val="00A61B82"/>
    <w:rsid w:val="00A64EA6"/>
    <w:rsid w:val="00BA5C76"/>
    <w:rsid w:val="00BD37D7"/>
    <w:rsid w:val="00C5108A"/>
    <w:rsid w:val="00C57F39"/>
    <w:rsid w:val="00C67F12"/>
    <w:rsid w:val="00C70A15"/>
    <w:rsid w:val="00C936F9"/>
    <w:rsid w:val="00CC7747"/>
    <w:rsid w:val="00D228D5"/>
    <w:rsid w:val="00D27F5B"/>
    <w:rsid w:val="00D96AA4"/>
    <w:rsid w:val="00DA13CB"/>
    <w:rsid w:val="00DF274C"/>
    <w:rsid w:val="00E1374A"/>
    <w:rsid w:val="00E3493B"/>
    <w:rsid w:val="00E45266"/>
    <w:rsid w:val="00E51242"/>
    <w:rsid w:val="00E72F97"/>
    <w:rsid w:val="00EE1EA1"/>
    <w:rsid w:val="00EF7946"/>
    <w:rsid w:val="00F2259B"/>
    <w:rsid w:val="00F35174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89C"/>
  </w:style>
  <w:style w:type="paragraph" w:styleId="a6">
    <w:name w:val="footer"/>
    <w:basedOn w:val="a"/>
    <w:link w:val="a7"/>
    <w:uiPriority w:val="99"/>
    <w:semiHidden/>
    <w:unhideWhenUsed/>
    <w:rsid w:val="0095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89C"/>
  </w:style>
  <w:style w:type="paragraph" w:styleId="a6">
    <w:name w:val="footer"/>
    <w:basedOn w:val="a"/>
    <w:link w:val="a7"/>
    <w:uiPriority w:val="99"/>
    <w:semiHidden/>
    <w:unhideWhenUsed/>
    <w:rsid w:val="0095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1651</Words>
  <Characters>9414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Anatoly Sherstin</cp:lastModifiedBy>
  <cp:revision>2</cp:revision>
  <dcterms:created xsi:type="dcterms:W3CDTF">2017-09-08T09:51:00Z</dcterms:created>
  <dcterms:modified xsi:type="dcterms:W3CDTF">2017-09-08T09:51:00Z</dcterms:modified>
</cp:coreProperties>
</file>